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7CE" w:rsidRPr="00510376" w:rsidRDefault="00510376" w:rsidP="00510376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SCI édition 7 </w:t>
      </w:r>
      <w:r w:rsidR="00581B9B">
        <w:rPr>
          <w:b/>
          <w:u w:val="single"/>
        </w:rPr>
        <w:t>–</w:t>
      </w:r>
      <w:r>
        <w:rPr>
          <w:b/>
          <w:u w:val="single"/>
        </w:rPr>
        <w:t xml:space="preserve"> </w:t>
      </w:r>
      <w:r w:rsidR="00581B9B">
        <w:rPr>
          <w:b/>
          <w:u w:val="single"/>
        </w:rPr>
        <w:t>Mise à jour</w:t>
      </w:r>
      <w:r w:rsidRPr="00510376">
        <w:rPr>
          <w:b/>
          <w:u w:val="single"/>
        </w:rPr>
        <w:t xml:space="preserve"> au </w:t>
      </w:r>
      <w:r w:rsidR="00B40529">
        <w:rPr>
          <w:b/>
          <w:u w:val="single"/>
        </w:rPr>
        <w:t xml:space="preserve">25 juin </w:t>
      </w:r>
      <w:r w:rsidRPr="00510376">
        <w:rPr>
          <w:b/>
          <w:u w:val="single"/>
        </w:rPr>
        <w:t>2013</w:t>
      </w:r>
    </w:p>
    <w:p w:rsidR="00510376" w:rsidRDefault="00510376" w:rsidP="00510376">
      <w:pPr>
        <w:spacing w:after="0" w:line="240" w:lineRule="auto"/>
      </w:pPr>
    </w:p>
    <w:p w:rsidR="003806B8" w:rsidRDefault="003806B8" w:rsidP="003806B8">
      <w:pPr>
        <w:autoSpaceDE w:val="0"/>
        <w:autoSpaceDN w:val="0"/>
        <w:adjustRightInd w:val="0"/>
        <w:spacing w:after="0" w:line="240" w:lineRule="auto"/>
        <w:jc w:val="left"/>
        <w:rPr>
          <w:rFonts w:ascii="GillSans" w:hAnsi="GillSans" w:cs="GillSans"/>
          <w:sz w:val="18"/>
          <w:szCs w:val="18"/>
        </w:rPr>
      </w:pPr>
    </w:p>
    <w:p w:rsidR="00117B9F" w:rsidRPr="00262DA5" w:rsidRDefault="00117B9F" w:rsidP="003806B8">
      <w:pPr>
        <w:spacing w:after="0" w:line="240" w:lineRule="auto"/>
        <w:rPr>
          <w:rFonts w:ascii="GillSans-Light" w:hAnsi="GillSans-Light" w:cs="GillSans-Light"/>
          <w:b/>
          <w:sz w:val="18"/>
          <w:szCs w:val="18"/>
        </w:rPr>
      </w:pPr>
      <w:r w:rsidRPr="00262DA5">
        <w:rPr>
          <w:rFonts w:ascii="GillSans-Light" w:hAnsi="GillSans-Light" w:cs="GillSans-Light"/>
          <w:b/>
          <w:sz w:val="18"/>
          <w:szCs w:val="18"/>
        </w:rPr>
        <w:t>Page 170</w:t>
      </w:r>
    </w:p>
    <w:p w:rsidR="00117B9F" w:rsidRPr="00262DA5" w:rsidRDefault="00117B9F" w:rsidP="00117B9F">
      <w:pPr>
        <w:autoSpaceDE w:val="0"/>
        <w:autoSpaceDN w:val="0"/>
        <w:adjustRightInd w:val="0"/>
        <w:spacing w:after="0" w:line="240" w:lineRule="auto"/>
        <w:jc w:val="left"/>
        <w:rPr>
          <w:rFonts w:ascii="Times-Bold" w:hAnsi="Times-Bold" w:cs="Times-Bold"/>
          <w:b/>
          <w:bCs/>
          <w:szCs w:val="22"/>
        </w:rPr>
      </w:pPr>
      <w:r w:rsidRPr="00262DA5">
        <w:rPr>
          <w:rFonts w:ascii="Times-Bold" w:hAnsi="Times-Bold" w:cs="Times-Bold"/>
          <w:b/>
          <w:bCs/>
          <w:szCs w:val="22"/>
        </w:rPr>
        <w:t>Acquisition en N</w:t>
      </w:r>
    </w:p>
    <w:p w:rsidR="00117B9F" w:rsidRPr="00262DA5" w:rsidRDefault="00117B9F" w:rsidP="00117B9F">
      <w:p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  <w:color w:val="auto"/>
          <w:szCs w:val="22"/>
        </w:rPr>
      </w:pPr>
      <w:r w:rsidRPr="00262DA5">
        <w:rPr>
          <w:rFonts w:ascii="Garamond-Bold" w:hAnsi="Garamond-Bold" w:cs="Garamond-Bold"/>
          <w:b/>
          <w:bCs/>
          <w:sz w:val="26"/>
          <w:szCs w:val="26"/>
        </w:rPr>
        <w:t xml:space="preserve">• </w:t>
      </w:r>
      <w:r w:rsidRPr="00262DA5">
        <w:rPr>
          <w:rFonts w:ascii="Times-Roman" w:hAnsi="Times-Roman" w:cs="Times-Roman"/>
          <w:szCs w:val="22"/>
        </w:rPr>
        <w:t xml:space="preserve">L’immeuble est en cours de construction </w:t>
      </w:r>
      <w:r w:rsidR="00262DA5" w:rsidRPr="00262DA5">
        <w:rPr>
          <w:rFonts w:ascii="Symbol" w:hAnsi="Symbol" w:cs="Symbol"/>
          <w:szCs w:val="22"/>
        </w:rPr>
        <w:sym w:font="Wingdings" w:char="F0F0"/>
      </w:r>
      <w:r w:rsidRPr="00262DA5">
        <w:rPr>
          <w:rFonts w:ascii="Symbol" w:hAnsi="Symbol" w:cs="Symbol"/>
          <w:szCs w:val="22"/>
        </w:rPr>
        <w:t></w:t>
      </w:r>
      <w:r w:rsidRPr="00262DA5">
        <w:rPr>
          <w:rFonts w:ascii="Times-Roman" w:hAnsi="Times-Roman" w:cs="Times-Roman"/>
          <w:szCs w:val="22"/>
        </w:rPr>
        <w:t>c’est la TVA qui</w:t>
      </w:r>
      <w:r w:rsidR="00262DA5">
        <w:rPr>
          <w:rFonts w:ascii="Times-Roman" w:hAnsi="Times-Roman" w:cs="Times-Roman"/>
          <w:szCs w:val="22"/>
        </w:rPr>
        <w:t xml:space="preserve"> </w:t>
      </w:r>
      <w:r w:rsidRPr="00262DA5">
        <w:rPr>
          <w:rFonts w:ascii="Times-Roman" w:hAnsi="Times-Roman" w:cs="Times-Roman"/>
          <w:szCs w:val="22"/>
        </w:rPr>
        <w:t>s’applique. Elle n’est pas récupérable car il s’agit d’un immeuble</w:t>
      </w:r>
      <w:r w:rsidR="00262DA5">
        <w:rPr>
          <w:rFonts w:ascii="Times-Roman" w:hAnsi="Times-Roman" w:cs="Times-Roman"/>
          <w:szCs w:val="22"/>
        </w:rPr>
        <w:t xml:space="preserve"> </w:t>
      </w:r>
      <w:r w:rsidRPr="00262DA5">
        <w:rPr>
          <w:rFonts w:ascii="Times-Roman" w:hAnsi="Times-Roman" w:cs="Times-Roman"/>
          <w:szCs w:val="22"/>
        </w:rPr>
        <w:t xml:space="preserve">à usage d’habitation : </w:t>
      </w:r>
      <w:r w:rsidRPr="00262DA5">
        <w:rPr>
          <w:rFonts w:ascii="Times-Roman" w:hAnsi="Times-Roman" w:cs="Times-Roman"/>
          <w:color w:val="auto"/>
          <w:szCs w:val="22"/>
        </w:rPr>
        <w:t xml:space="preserve">500 000 x </w:t>
      </w:r>
      <w:r w:rsidRPr="00262DA5">
        <w:rPr>
          <w:rFonts w:ascii="Times-Roman" w:hAnsi="Times-Roman" w:cs="Times-Roman"/>
          <w:color w:val="1F497D" w:themeColor="text2"/>
          <w:szCs w:val="22"/>
          <w:highlight w:val="yellow"/>
        </w:rPr>
        <w:t>20 %</w:t>
      </w:r>
      <w:r w:rsidRPr="00262DA5">
        <w:rPr>
          <w:rFonts w:ascii="Times-Roman" w:hAnsi="Times-Roman" w:cs="Times-Roman"/>
          <w:color w:val="auto"/>
          <w:szCs w:val="22"/>
          <w:highlight w:val="yellow"/>
        </w:rPr>
        <w:t xml:space="preserve"> = </w:t>
      </w:r>
      <w:r w:rsidRPr="00262DA5">
        <w:rPr>
          <w:rFonts w:ascii="Times-Roman" w:hAnsi="Times-Roman" w:cs="Times-Roman"/>
          <w:color w:val="1F497D" w:themeColor="text2"/>
          <w:szCs w:val="22"/>
          <w:highlight w:val="yellow"/>
        </w:rPr>
        <w:t xml:space="preserve">100 000 </w:t>
      </w:r>
      <w:r w:rsidRPr="00262DA5">
        <w:rPr>
          <w:rFonts w:ascii="EuroSans-Regular" w:hAnsi="EuroSans-Regular" w:cs="EuroSans-Regular"/>
          <w:color w:val="1F497D" w:themeColor="text2"/>
          <w:szCs w:val="22"/>
          <w:highlight w:val="yellow"/>
        </w:rPr>
        <w:t>€</w:t>
      </w:r>
      <w:r w:rsidRPr="00262DA5">
        <w:rPr>
          <w:rFonts w:ascii="Times-Roman" w:hAnsi="Times-Roman" w:cs="Times-Roman"/>
          <w:color w:val="1F497D" w:themeColor="text2"/>
          <w:szCs w:val="22"/>
          <w:highlight w:val="yellow"/>
        </w:rPr>
        <w:t>.</w:t>
      </w:r>
    </w:p>
    <w:p w:rsidR="00117B9F" w:rsidRDefault="00117B9F" w:rsidP="00262DA5">
      <w:pPr>
        <w:autoSpaceDE w:val="0"/>
        <w:autoSpaceDN w:val="0"/>
        <w:adjustRightInd w:val="0"/>
        <w:spacing w:after="0" w:line="240" w:lineRule="auto"/>
        <w:jc w:val="left"/>
        <w:rPr>
          <w:rFonts w:ascii="GillSans-Light" w:hAnsi="GillSans-Light" w:cs="GillSans-Light"/>
          <w:b/>
          <w:sz w:val="18"/>
          <w:szCs w:val="18"/>
        </w:rPr>
      </w:pPr>
      <w:r w:rsidRPr="00262DA5">
        <w:rPr>
          <w:rFonts w:ascii="Garamond-Bold" w:hAnsi="Garamond-Bold" w:cs="Garamond-Bold"/>
          <w:b/>
          <w:bCs/>
          <w:sz w:val="26"/>
          <w:szCs w:val="26"/>
        </w:rPr>
        <w:t xml:space="preserve">• </w:t>
      </w:r>
      <w:r w:rsidRPr="00262DA5">
        <w:rPr>
          <w:rFonts w:ascii="Times-Roman" w:hAnsi="Times-Roman" w:cs="Times-Roman"/>
          <w:szCs w:val="22"/>
        </w:rPr>
        <w:t>Il faut y ajouter la taxe de publicité foncière au taux de 0,60 % :</w:t>
      </w:r>
      <w:r w:rsidR="00262DA5">
        <w:rPr>
          <w:rFonts w:ascii="Times-Roman" w:hAnsi="Times-Roman" w:cs="Times-Roman"/>
          <w:szCs w:val="22"/>
        </w:rPr>
        <w:t xml:space="preserve"> </w:t>
      </w:r>
      <w:r w:rsidRPr="00262DA5">
        <w:rPr>
          <w:rFonts w:ascii="Times-Roman" w:hAnsi="Times-Roman" w:cs="Times-Roman"/>
          <w:szCs w:val="22"/>
        </w:rPr>
        <w:t xml:space="preserve">500 000 </w:t>
      </w:r>
      <w:r w:rsidR="009C5759" w:rsidRPr="00262DA5">
        <w:rPr>
          <w:rFonts w:ascii="Times-Roman" w:hAnsi="Times-Roman" w:cs="Times-Roman"/>
          <w:szCs w:val="22"/>
        </w:rPr>
        <w:t>x</w:t>
      </w:r>
      <w:r w:rsidRPr="00262DA5">
        <w:rPr>
          <w:rFonts w:ascii="Symbol" w:hAnsi="Symbol" w:cs="Symbol"/>
          <w:szCs w:val="22"/>
        </w:rPr>
        <w:t></w:t>
      </w:r>
      <w:r w:rsidRPr="00262DA5">
        <w:rPr>
          <w:rFonts w:ascii="Times-Roman" w:hAnsi="Times-Roman" w:cs="Times-Roman"/>
          <w:szCs w:val="22"/>
          <w:highlight w:val="yellow"/>
        </w:rPr>
        <w:t xml:space="preserve">0,60 % = 3 000 </w:t>
      </w:r>
      <w:r w:rsidRPr="00262DA5">
        <w:rPr>
          <w:rFonts w:ascii="EuroSans-Regular" w:hAnsi="EuroSans-Regular" w:cs="EuroSans-Regular"/>
          <w:szCs w:val="22"/>
          <w:highlight w:val="yellow"/>
        </w:rPr>
        <w:t>€</w:t>
      </w:r>
      <w:r w:rsidRPr="00262DA5">
        <w:rPr>
          <w:rFonts w:ascii="Times-Roman" w:hAnsi="Times-Roman" w:cs="Times-Roman"/>
          <w:szCs w:val="22"/>
          <w:highlight w:val="yellow"/>
        </w:rPr>
        <w:t>.</w:t>
      </w:r>
    </w:p>
    <w:p w:rsidR="00117B9F" w:rsidRDefault="00117B9F" w:rsidP="003806B8">
      <w:pPr>
        <w:spacing w:after="0" w:line="240" w:lineRule="auto"/>
        <w:rPr>
          <w:rFonts w:ascii="GillSans-Light" w:hAnsi="GillSans-Light" w:cs="GillSans-Light"/>
          <w:b/>
          <w:sz w:val="18"/>
          <w:szCs w:val="18"/>
        </w:rPr>
      </w:pPr>
    </w:p>
    <w:p w:rsidR="00581114" w:rsidRDefault="0013036F" w:rsidP="003806B8">
      <w:pPr>
        <w:spacing w:after="0" w:line="240" w:lineRule="auto"/>
        <w:rPr>
          <w:b/>
        </w:rPr>
      </w:pPr>
      <w:r w:rsidRPr="0013036F">
        <w:rPr>
          <w:b/>
        </w:rPr>
        <w:t>Page 173</w:t>
      </w:r>
    </w:p>
    <w:p w:rsidR="00367959" w:rsidRDefault="00367959" w:rsidP="003806B8">
      <w:pPr>
        <w:spacing w:after="0" w:line="240" w:lineRule="auto"/>
        <w:rPr>
          <w:b/>
        </w:rPr>
      </w:pPr>
      <w:r>
        <w:rPr>
          <w:b/>
        </w:rPr>
        <w:t>Dans le cas n° 42</w:t>
      </w:r>
    </w:p>
    <w:p w:rsidR="00367959" w:rsidRPr="0013036F" w:rsidRDefault="00367959" w:rsidP="00367959">
      <w:pPr>
        <w:autoSpaceDE w:val="0"/>
        <w:autoSpaceDN w:val="0"/>
        <w:adjustRightInd w:val="0"/>
        <w:spacing w:after="0" w:line="240" w:lineRule="auto"/>
        <w:jc w:val="left"/>
        <w:rPr>
          <w:b/>
        </w:rPr>
      </w:pPr>
      <w:r>
        <w:rPr>
          <w:rFonts w:ascii="Helvetica" w:hAnsi="Helvetica" w:cs="Helvetica"/>
          <w:sz w:val="19"/>
          <w:szCs w:val="19"/>
        </w:rPr>
        <w:t xml:space="preserve">La SCI encaissera en principe un loyer HT inférieur de </w:t>
      </w:r>
      <w:r w:rsidRPr="005979D5">
        <w:rPr>
          <w:rFonts w:ascii="Helvetica" w:hAnsi="Helvetica" w:cs="Helvetica"/>
          <w:sz w:val="19"/>
          <w:szCs w:val="19"/>
          <w:highlight w:val="yellow"/>
        </w:rPr>
        <w:t>20 %</w:t>
      </w:r>
      <w:r>
        <w:rPr>
          <w:rFonts w:ascii="Helvetica" w:hAnsi="Helvetica" w:cs="Helvetica"/>
          <w:sz w:val="19"/>
          <w:szCs w:val="19"/>
        </w:rPr>
        <w:t xml:space="preserve"> à celui du marché.</w:t>
      </w:r>
    </w:p>
    <w:p w:rsidR="0019781C" w:rsidRDefault="0019781C" w:rsidP="0013036F">
      <w:p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  <w:sz w:val="18"/>
          <w:szCs w:val="18"/>
        </w:rPr>
      </w:pPr>
    </w:p>
    <w:p w:rsidR="005253F4" w:rsidRDefault="005253F4" w:rsidP="0013036F">
      <w:pPr>
        <w:spacing w:after="0" w:line="240" w:lineRule="auto"/>
        <w:rPr>
          <w:rFonts w:ascii="Times-Roman" w:hAnsi="Times-Roman" w:cs="Times-Roman"/>
          <w:b/>
          <w:sz w:val="18"/>
          <w:szCs w:val="18"/>
        </w:rPr>
      </w:pPr>
      <w:r w:rsidRPr="005253F4">
        <w:rPr>
          <w:rFonts w:ascii="Times-Roman" w:hAnsi="Times-Roman" w:cs="Times-Roman"/>
          <w:b/>
          <w:sz w:val="18"/>
          <w:szCs w:val="18"/>
        </w:rPr>
        <w:t>Page 175</w:t>
      </w:r>
    </w:p>
    <w:p w:rsidR="00581B9B" w:rsidRPr="005253F4" w:rsidRDefault="00581B9B" w:rsidP="0013036F">
      <w:pPr>
        <w:spacing w:after="0" w:line="240" w:lineRule="auto"/>
        <w:rPr>
          <w:rFonts w:ascii="Times-Roman" w:hAnsi="Times-Roman" w:cs="Times-Roman"/>
          <w:b/>
          <w:sz w:val="18"/>
          <w:szCs w:val="18"/>
        </w:rPr>
      </w:pPr>
      <w:r>
        <w:rPr>
          <w:rFonts w:ascii="Times-Roman" w:hAnsi="Times-Roman" w:cs="Times-Roman"/>
          <w:b/>
          <w:sz w:val="18"/>
          <w:szCs w:val="18"/>
        </w:rPr>
        <w:t>Dans le tableau</w:t>
      </w:r>
    </w:p>
    <w:p w:rsidR="0013036F" w:rsidRDefault="005253F4" w:rsidP="00581B9B">
      <w:p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  <w:sz w:val="18"/>
          <w:szCs w:val="18"/>
        </w:rPr>
      </w:pPr>
      <w:proofErr w:type="gramStart"/>
      <w:r>
        <w:rPr>
          <w:rFonts w:ascii="GillSans" w:hAnsi="GillSans" w:cs="GillSans"/>
          <w:sz w:val="18"/>
          <w:szCs w:val="18"/>
        </w:rPr>
        <w:t>les</w:t>
      </w:r>
      <w:proofErr w:type="gramEnd"/>
      <w:r>
        <w:rPr>
          <w:rFonts w:ascii="GillSans" w:hAnsi="GillSans" w:cs="GillSans"/>
          <w:sz w:val="18"/>
          <w:szCs w:val="18"/>
        </w:rPr>
        <w:t xml:space="preserve"> locations meublées à usage d’habitation accompagnées</w:t>
      </w:r>
      <w:r w:rsidR="00581B9B">
        <w:rPr>
          <w:rFonts w:ascii="GillSans" w:hAnsi="GillSans" w:cs="GillSans"/>
          <w:sz w:val="18"/>
          <w:szCs w:val="18"/>
        </w:rPr>
        <w:t xml:space="preserve"> </w:t>
      </w:r>
      <w:r>
        <w:rPr>
          <w:rFonts w:ascii="GillSans" w:hAnsi="GillSans" w:cs="GillSans"/>
          <w:sz w:val="18"/>
          <w:szCs w:val="18"/>
        </w:rPr>
        <w:t xml:space="preserve">de prestations </w:t>
      </w:r>
      <w:proofErr w:type="spellStart"/>
      <w:r>
        <w:rPr>
          <w:rFonts w:ascii="GillSans" w:hAnsi="GillSans" w:cs="GillSans"/>
          <w:sz w:val="18"/>
          <w:szCs w:val="18"/>
        </w:rPr>
        <w:t>parahôtelières</w:t>
      </w:r>
      <w:proofErr w:type="spellEnd"/>
      <w:r>
        <w:rPr>
          <w:rFonts w:ascii="GillSans" w:hAnsi="GillSans" w:cs="GillSans"/>
          <w:sz w:val="18"/>
          <w:szCs w:val="18"/>
        </w:rPr>
        <w:t xml:space="preserve"> </w:t>
      </w:r>
      <w:r>
        <w:rPr>
          <w:rFonts w:ascii="GillSans-Light" w:hAnsi="GillSans-Light" w:cs="GillSans-Light"/>
          <w:sz w:val="18"/>
          <w:szCs w:val="18"/>
        </w:rPr>
        <w:t xml:space="preserve">sont imposées à </w:t>
      </w:r>
      <w:r w:rsidRPr="005979D5">
        <w:rPr>
          <w:rFonts w:ascii="GillSans-Light" w:hAnsi="GillSans-Light" w:cs="GillSans-Light"/>
          <w:color w:val="1F497D" w:themeColor="text2"/>
          <w:sz w:val="18"/>
          <w:szCs w:val="18"/>
          <w:highlight w:val="yellow"/>
        </w:rPr>
        <w:t>10</w:t>
      </w:r>
      <w:r w:rsidRPr="005979D5">
        <w:rPr>
          <w:rFonts w:ascii="GillSans-Light" w:hAnsi="GillSans-Light" w:cs="GillSans-Light"/>
          <w:sz w:val="18"/>
          <w:szCs w:val="18"/>
          <w:highlight w:val="yellow"/>
        </w:rPr>
        <w:t xml:space="preserve"> %.</w:t>
      </w:r>
    </w:p>
    <w:p w:rsidR="0013036F" w:rsidRDefault="0013036F" w:rsidP="0013036F">
      <w:pPr>
        <w:spacing w:after="0" w:line="240" w:lineRule="auto"/>
      </w:pPr>
    </w:p>
    <w:p w:rsidR="00521C74" w:rsidRPr="00536EAB" w:rsidRDefault="00536EAB" w:rsidP="00521C74">
      <w:pPr>
        <w:autoSpaceDE w:val="0"/>
        <w:autoSpaceDN w:val="0"/>
        <w:adjustRightInd w:val="0"/>
        <w:spacing w:after="0" w:line="240" w:lineRule="auto"/>
        <w:jc w:val="left"/>
        <w:rPr>
          <w:rFonts w:ascii="Helvetica-Condensed" w:hAnsi="Helvetica-Condensed" w:cs="Helvetica-Condensed"/>
          <w:b/>
          <w:sz w:val="18"/>
          <w:szCs w:val="18"/>
        </w:rPr>
      </w:pPr>
      <w:r w:rsidRPr="00536EAB">
        <w:rPr>
          <w:rFonts w:ascii="Helvetica-Condensed" w:hAnsi="Helvetica-Condensed" w:cs="Helvetica-Condensed"/>
          <w:b/>
          <w:sz w:val="18"/>
          <w:szCs w:val="18"/>
        </w:rPr>
        <w:t>Page 205</w:t>
      </w:r>
    </w:p>
    <w:p w:rsidR="00521C74" w:rsidRPr="00536EAB" w:rsidRDefault="00536EAB" w:rsidP="00521C74">
      <w:pPr>
        <w:autoSpaceDE w:val="0"/>
        <w:autoSpaceDN w:val="0"/>
        <w:adjustRightInd w:val="0"/>
        <w:spacing w:after="0" w:line="240" w:lineRule="auto"/>
        <w:jc w:val="left"/>
        <w:rPr>
          <w:rFonts w:ascii="Helvetica-Condensed-Bold" w:hAnsi="Helvetica-Condensed-Bold" w:cs="Helvetica-Condensed-Bold"/>
          <w:b/>
          <w:bCs/>
          <w:sz w:val="18"/>
          <w:szCs w:val="18"/>
        </w:rPr>
      </w:pPr>
      <w:r w:rsidRPr="00536EAB">
        <w:rPr>
          <w:rFonts w:ascii="Helvetica-Condensed-Bold" w:hAnsi="Helvetica-Condensed-Bold" w:cs="Helvetica-Condensed-Bold"/>
          <w:b/>
          <w:bCs/>
          <w:sz w:val="18"/>
          <w:szCs w:val="18"/>
        </w:rPr>
        <w:t>Dans le tableau</w:t>
      </w:r>
    </w:p>
    <w:p w:rsidR="00521C74" w:rsidRPr="00536EAB" w:rsidRDefault="00536EAB" w:rsidP="00521C74">
      <w:p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  <w:color w:val="1F497D" w:themeColor="text2"/>
        </w:rPr>
      </w:pPr>
      <w:r w:rsidRPr="00536EAB">
        <w:rPr>
          <w:rFonts w:ascii="Helvetica-Condensed-Bold" w:hAnsi="Helvetica-Condensed-Bold" w:cs="Helvetica-Condensed-Bold"/>
          <w:b/>
          <w:bCs/>
          <w:sz w:val="18"/>
          <w:szCs w:val="18"/>
        </w:rPr>
        <w:t>Ligne « </w:t>
      </w:r>
      <w:r w:rsidR="00521C74" w:rsidRPr="00536EAB">
        <w:rPr>
          <w:rFonts w:ascii="Helvetica-Condensed-Bold" w:hAnsi="Helvetica-Condensed-Bold" w:cs="Helvetica-Condensed-Bold"/>
          <w:b/>
          <w:bCs/>
          <w:sz w:val="18"/>
          <w:szCs w:val="18"/>
        </w:rPr>
        <w:t>Imposition de</w:t>
      </w:r>
      <w:r w:rsidRPr="00536EAB">
        <w:rPr>
          <w:rFonts w:ascii="Helvetica-Condensed-Bold" w:hAnsi="Helvetica-Condensed-Bold" w:cs="Helvetica-Condensed-Bold"/>
          <w:b/>
          <w:bCs/>
          <w:sz w:val="18"/>
          <w:szCs w:val="18"/>
        </w:rPr>
        <w:t xml:space="preserve"> </w:t>
      </w:r>
      <w:r w:rsidR="00521C74" w:rsidRPr="00536EAB">
        <w:rPr>
          <w:rFonts w:ascii="Helvetica-Condensed-Bold" w:hAnsi="Helvetica-Condensed-Bold" w:cs="Helvetica-Condensed-Bold"/>
          <w:b/>
          <w:bCs/>
          <w:sz w:val="18"/>
          <w:szCs w:val="18"/>
        </w:rPr>
        <w:t>la plus-value de</w:t>
      </w:r>
      <w:r w:rsidRPr="00536EAB">
        <w:rPr>
          <w:rFonts w:ascii="Helvetica-Condensed-Bold" w:hAnsi="Helvetica-Condensed-Bold" w:cs="Helvetica-Condensed-Bold"/>
          <w:b/>
          <w:bCs/>
          <w:sz w:val="18"/>
          <w:szCs w:val="18"/>
        </w:rPr>
        <w:t xml:space="preserve"> </w:t>
      </w:r>
      <w:r w:rsidR="00521C74" w:rsidRPr="00536EAB">
        <w:rPr>
          <w:rFonts w:ascii="Helvetica-Condensed-Bold" w:hAnsi="Helvetica-Condensed-Bold" w:cs="Helvetica-Condensed-Bold"/>
          <w:b/>
          <w:bCs/>
          <w:sz w:val="18"/>
          <w:szCs w:val="18"/>
        </w:rPr>
        <w:t>cession des parts</w:t>
      </w:r>
      <w:r w:rsidRPr="00536EAB">
        <w:rPr>
          <w:rFonts w:ascii="Helvetica-Condensed-Bold" w:hAnsi="Helvetica-Condensed-Bold" w:cs="Helvetica-Condensed-Bold"/>
          <w:b/>
          <w:bCs/>
          <w:sz w:val="18"/>
          <w:szCs w:val="18"/>
        </w:rPr>
        <w:t xml:space="preserve"> </w:t>
      </w:r>
      <w:r w:rsidR="00521C74" w:rsidRPr="00536EAB">
        <w:rPr>
          <w:rFonts w:ascii="Helvetica-Condensed-Bold" w:hAnsi="Helvetica-Condensed-Bold" w:cs="Helvetica-Condensed-Bold"/>
          <w:b/>
          <w:bCs/>
          <w:sz w:val="18"/>
          <w:szCs w:val="18"/>
        </w:rPr>
        <w:t>sociales</w:t>
      </w:r>
      <w:r w:rsidRPr="00536EAB">
        <w:rPr>
          <w:rFonts w:ascii="Helvetica-Condensed-Bold" w:hAnsi="Helvetica-Condensed-Bold" w:cs="Helvetica-Condensed-Bold"/>
          <w:b/>
          <w:bCs/>
          <w:sz w:val="18"/>
          <w:szCs w:val="18"/>
        </w:rPr>
        <w:t> »</w:t>
      </w:r>
    </w:p>
    <w:p w:rsidR="00521C74" w:rsidRPr="00536EAB" w:rsidRDefault="00536EAB" w:rsidP="00521C74">
      <w:p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  <w:color w:val="auto"/>
        </w:rPr>
      </w:pPr>
      <w:r w:rsidRPr="00536EAB">
        <w:rPr>
          <w:rFonts w:ascii="Helvetica-Condensed" w:hAnsi="Helvetica-Condensed" w:cs="Helvetica-Condensed"/>
          <w:color w:val="auto"/>
          <w:sz w:val="18"/>
          <w:szCs w:val="18"/>
        </w:rPr>
        <w:t>Pour la colonne IR, a</w:t>
      </w:r>
      <w:r w:rsidR="00521C74" w:rsidRPr="00536EAB">
        <w:rPr>
          <w:rFonts w:ascii="Times-Roman" w:hAnsi="Times-Roman" w:cs="Times-Roman"/>
          <w:color w:val="auto"/>
        </w:rPr>
        <w:t>jouter avant le texte actuel :</w:t>
      </w:r>
    </w:p>
    <w:p w:rsidR="00521C74" w:rsidRPr="006C4966" w:rsidRDefault="00521C74" w:rsidP="00521C74">
      <w:p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  <w:color w:val="1F497D" w:themeColor="text2"/>
          <w:highlight w:val="yellow"/>
        </w:rPr>
      </w:pPr>
      <w:r w:rsidRPr="006C4966">
        <w:rPr>
          <w:rFonts w:ascii="Times-Roman" w:hAnsi="Times-Roman" w:cs="Times-Roman"/>
          <w:color w:val="1F497D" w:themeColor="text2"/>
          <w:highlight w:val="yellow"/>
        </w:rPr>
        <w:t xml:space="preserve">La plus-value de cession des parts sociales est imposée comme une </w:t>
      </w:r>
      <w:r w:rsidRPr="006C4966">
        <w:rPr>
          <w:rFonts w:ascii="Times-Roman" w:hAnsi="Times-Roman" w:cs="Times-Roman"/>
          <w:b/>
          <w:color w:val="1F497D" w:themeColor="text2"/>
          <w:highlight w:val="yellow"/>
        </w:rPr>
        <w:t>cession d’immeuble</w:t>
      </w:r>
      <w:r w:rsidRPr="006C4966">
        <w:rPr>
          <w:rFonts w:ascii="Times-Roman" w:hAnsi="Times-Roman" w:cs="Times-Roman"/>
          <w:color w:val="1F497D" w:themeColor="text2"/>
          <w:highlight w:val="yellow"/>
        </w:rPr>
        <w:t xml:space="preserve"> car la SCI est une société à prépondérance immobilière.</w:t>
      </w:r>
    </w:p>
    <w:p w:rsidR="00521C74" w:rsidRPr="006C4966" w:rsidRDefault="00521C74" w:rsidP="00521C74">
      <w:p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  <w:color w:val="1F497D" w:themeColor="text2"/>
          <w:highlight w:val="yellow"/>
        </w:rPr>
      </w:pPr>
    </w:p>
    <w:p w:rsidR="00521C74" w:rsidRPr="00536EAB" w:rsidRDefault="00536EAB" w:rsidP="00521C74">
      <w:p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  <w:color w:val="auto"/>
        </w:rPr>
      </w:pPr>
      <w:r w:rsidRPr="00536EAB">
        <w:rPr>
          <w:rFonts w:ascii="Times-Roman" w:hAnsi="Times-Roman" w:cs="Times-Roman"/>
          <w:color w:val="auto"/>
        </w:rPr>
        <w:t>Pour la colonne IS, a</w:t>
      </w:r>
      <w:r w:rsidR="00521C74" w:rsidRPr="00536EAB">
        <w:rPr>
          <w:rFonts w:ascii="Times-Roman" w:hAnsi="Times-Roman" w:cs="Times-Roman"/>
          <w:color w:val="auto"/>
        </w:rPr>
        <w:t>jouter avant le texte actuel :</w:t>
      </w:r>
    </w:p>
    <w:p w:rsidR="00521C74" w:rsidRDefault="00521C74" w:rsidP="00521C74">
      <w:p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  <w:color w:val="1F497D" w:themeColor="text2"/>
        </w:rPr>
      </w:pPr>
      <w:r w:rsidRPr="006C4966">
        <w:rPr>
          <w:rFonts w:ascii="Times-Roman" w:hAnsi="Times-Roman" w:cs="Times-Roman"/>
          <w:color w:val="1F497D" w:themeColor="text2"/>
          <w:highlight w:val="yellow"/>
        </w:rPr>
        <w:t xml:space="preserve">La plus-value de cession des parts sociales est imposée comme une </w:t>
      </w:r>
      <w:r w:rsidRPr="006C4966">
        <w:rPr>
          <w:rFonts w:ascii="Times-Roman" w:hAnsi="Times-Roman" w:cs="Times-Roman"/>
          <w:b/>
          <w:color w:val="1F497D" w:themeColor="text2"/>
          <w:highlight w:val="yellow"/>
        </w:rPr>
        <w:t>cession de titres</w:t>
      </w:r>
      <w:r w:rsidRPr="006C4966">
        <w:rPr>
          <w:rFonts w:ascii="Times-Roman" w:hAnsi="Times-Roman" w:cs="Times-Roman"/>
          <w:color w:val="1F497D" w:themeColor="text2"/>
          <w:highlight w:val="yellow"/>
        </w:rPr>
        <w:t xml:space="preserve"> car la SCI a opté pour l’IS.</w:t>
      </w:r>
    </w:p>
    <w:p w:rsidR="00521C74" w:rsidRDefault="00521C74">
      <w:pPr>
        <w:spacing w:after="0" w:line="240" w:lineRule="auto"/>
        <w:rPr>
          <w:rFonts w:ascii="Helvetica-Condensed" w:hAnsi="Helvetica-Condensed" w:cs="Helvetica-Condensed"/>
          <w:b/>
          <w:sz w:val="18"/>
          <w:szCs w:val="18"/>
        </w:rPr>
      </w:pPr>
    </w:p>
    <w:p w:rsidR="00577960" w:rsidRPr="00232024" w:rsidRDefault="00577960" w:rsidP="00577960">
      <w:pPr>
        <w:spacing w:after="0" w:line="240" w:lineRule="auto"/>
        <w:rPr>
          <w:rFonts w:ascii="Helvetica-Condensed" w:hAnsi="Helvetica-Condensed" w:cs="Helvetica-Condensed"/>
          <w:b/>
        </w:rPr>
      </w:pPr>
      <w:r w:rsidRPr="00232024">
        <w:rPr>
          <w:rFonts w:ascii="Helvetica-Condensed" w:hAnsi="Helvetica-Condensed" w:cs="Helvetica-Condensed"/>
          <w:b/>
        </w:rPr>
        <w:t xml:space="preserve">Page </w:t>
      </w:r>
      <w:r>
        <w:rPr>
          <w:rFonts w:ascii="Helvetica-Condensed" w:hAnsi="Helvetica-Condensed" w:cs="Helvetica-Condensed"/>
          <w:b/>
        </w:rPr>
        <w:t>228</w:t>
      </w:r>
    </w:p>
    <w:p w:rsidR="00577960" w:rsidRPr="00577960" w:rsidRDefault="00577960" w:rsidP="00577960">
      <w:pPr>
        <w:autoSpaceDE w:val="0"/>
        <w:autoSpaceDN w:val="0"/>
        <w:adjustRightInd w:val="0"/>
        <w:spacing w:after="0" w:line="240" w:lineRule="auto"/>
        <w:jc w:val="left"/>
        <w:rPr>
          <w:rFonts w:ascii="Helvetica-Condensed" w:hAnsi="Helvetica-Condensed" w:cs="Helvetica-Condensed"/>
          <w:color w:val="auto"/>
          <w:sz w:val="20"/>
          <w:szCs w:val="20"/>
        </w:rPr>
      </w:pPr>
      <w:r w:rsidRPr="00577960">
        <w:rPr>
          <w:rFonts w:ascii="Helvetica-Condensed" w:hAnsi="Helvetica-Condensed" w:cs="Helvetica-Condensed"/>
          <w:color w:val="auto"/>
          <w:sz w:val="20"/>
          <w:szCs w:val="20"/>
        </w:rPr>
        <w:t>L’ISF est calculé par foyer fiscal comme l’impôt sur le revenu. On additionne donc la</w:t>
      </w:r>
    </w:p>
    <w:p w:rsidR="00577960" w:rsidRPr="00577960" w:rsidRDefault="00577960" w:rsidP="00577960">
      <w:pPr>
        <w:autoSpaceDE w:val="0"/>
        <w:autoSpaceDN w:val="0"/>
        <w:adjustRightInd w:val="0"/>
        <w:spacing w:after="0" w:line="240" w:lineRule="auto"/>
        <w:jc w:val="left"/>
        <w:rPr>
          <w:rFonts w:ascii="Helvetica-Condensed" w:hAnsi="Helvetica-Condensed" w:cs="Helvetica-Condensed"/>
          <w:color w:val="auto"/>
          <w:sz w:val="20"/>
          <w:szCs w:val="20"/>
        </w:rPr>
      </w:pPr>
      <w:proofErr w:type="gramStart"/>
      <w:r w:rsidRPr="00577960">
        <w:rPr>
          <w:rFonts w:ascii="Helvetica-Condensed" w:hAnsi="Helvetica-Condensed" w:cs="Helvetica-Condensed"/>
          <w:color w:val="auto"/>
          <w:sz w:val="20"/>
          <w:szCs w:val="20"/>
        </w:rPr>
        <w:t>fortune</w:t>
      </w:r>
      <w:proofErr w:type="gramEnd"/>
      <w:r w:rsidRPr="00577960">
        <w:rPr>
          <w:rFonts w:ascii="Helvetica-Condensed" w:hAnsi="Helvetica-Condensed" w:cs="Helvetica-Condensed"/>
          <w:color w:val="auto"/>
          <w:sz w:val="20"/>
          <w:szCs w:val="20"/>
        </w:rPr>
        <w:t xml:space="preserve"> du mari, de sa femme et de ses enfants mineurs non émancipés. Si le mari</w:t>
      </w:r>
    </w:p>
    <w:p w:rsidR="00577960" w:rsidRPr="00577960" w:rsidRDefault="00577960" w:rsidP="00577960">
      <w:pPr>
        <w:autoSpaceDE w:val="0"/>
        <w:autoSpaceDN w:val="0"/>
        <w:adjustRightInd w:val="0"/>
        <w:spacing w:after="0" w:line="240" w:lineRule="auto"/>
        <w:jc w:val="left"/>
        <w:rPr>
          <w:rFonts w:ascii="Helvetica-Condensed" w:hAnsi="Helvetica-Condensed" w:cs="Helvetica-Condensed"/>
          <w:color w:val="auto"/>
          <w:sz w:val="20"/>
          <w:szCs w:val="20"/>
        </w:rPr>
      </w:pPr>
      <w:proofErr w:type="gramStart"/>
      <w:r w:rsidRPr="00577960">
        <w:rPr>
          <w:rFonts w:ascii="Helvetica-Condensed" w:hAnsi="Helvetica-Condensed" w:cs="Helvetica-Condensed"/>
          <w:color w:val="auto"/>
          <w:sz w:val="20"/>
          <w:szCs w:val="20"/>
        </w:rPr>
        <w:t>et</w:t>
      </w:r>
      <w:proofErr w:type="gramEnd"/>
      <w:r w:rsidRPr="00577960">
        <w:rPr>
          <w:rFonts w:ascii="Helvetica-Condensed" w:hAnsi="Helvetica-Condensed" w:cs="Helvetica-Condensed"/>
          <w:color w:val="auto"/>
          <w:sz w:val="20"/>
          <w:szCs w:val="20"/>
        </w:rPr>
        <w:t xml:space="preserve"> la femme ont chacun une fortune de 700 000 </w:t>
      </w:r>
      <w:r w:rsidRPr="00577960">
        <w:rPr>
          <w:rFonts w:ascii="EuroSans-Regular" w:hAnsi="EuroSans-Regular" w:cs="EuroSans-Regular"/>
          <w:color w:val="auto"/>
          <w:sz w:val="20"/>
          <w:szCs w:val="20"/>
        </w:rPr>
        <w:t>€</w:t>
      </w:r>
      <w:r w:rsidRPr="00577960">
        <w:rPr>
          <w:rFonts w:ascii="Helvetica-Condensed" w:hAnsi="Helvetica-Condensed" w:cs="Helvetica-Condensed"/>
          <w:color w:val="auto"/>
          <w:sz w:val="20"/>
          <w:szCs w:val="20"/>
        </w:rPr>
        <w:t>, ils seront soumis à l’ISF car leur</w:t>
      </w:r>
    </w:p>
    <w:p w:rsidR="002F0BE3" w:rsidRPr="00536EAB" w:rsidRDefault="00577960" w:rsidP="0013036F">
      <w:pPr>
        <w:spacing w:after="0" w:line="240" w:lineRule="auto"/>
        <w:rPr>
          <w:rFonts w:ascii="Helvetica-Condensed" w:hAnsi="Helvetica-Condensed" w:cs="Helvetica-Condensed"/>
          <w:color w:val="1F497D" w:themeColor="text2"/>
        </w:rPr>
      </w:pPr>
      <w:proofErr w:type="gramStart"/>
      <w:r w:rsidRPr="00577960">
        <w:rPr>
          <w:rFonts w:ascii="Helvetica-Condensed" w:hAnsi="Helvetica-Condensed" w:cs="Helvetica-Condensed"/>
          <w:color w:val="auto"/>
          <w:sz w:val="20"/>
          <w:szCs w:val="20"/>
        </w:rPr>
        <w:t>fortune</w:t>
      </w:r>
      <w:proofErr w:type="gramEnd"/>
      <w:r w:rsidRPr="00577960">
        <w:rPr>
          <w:rFonts w:ascii="Helvetica-Condensed" w:hAnsi="Helvetica-Condensed" w:cs="Helvetica-Condensed"/>
          <w:color w:val="auto"/>
          <w:sz w:val="20"/>
          <w:szCs w:val="20"/>
        </w:rPr>
        <w:t xml:space="preserve"> globale (1 400 000 </w:t>
      </w:r>
      <w:r w:rsidRPr="00577960">
        <w:rPr>
          <w:rFonts w:ascii="EuroSans-Regular" w:hAnsi="EuroSans-Regular" w:cs="EuroSans-Regular"/>
          <w:color w:val="auto"/>
          <w:sz w:val="20"/>
          <w:szCs w:val="20"/>
        </w:rPr>
        <w:t>€</w:t>
      </w:r>
      <w:r w:rsidRPr="00577960">
        <w:rPr>
          <w:rFonts w:ascii="Helvetica-Condensed" w:hAnsi="Helvetica-Condensed" w:cs="Helvetica-Condensed"/>
          <w:color w:val="auto"/>
          <w:sz w:val="20"/>
          <w:szCs w:val="20"/>
        </w:rPr>
        <w:t>) dépasse</w:t>
      </w:r>
      <w:r>
        <w:rPr>
          <w:rFonts w:ascii="Helvetica-Condensed" w:hAnsi="Helvetica-Condensed" w:cs="Helvetica-Condensed"/>
          <w:sz w:val="20"/>
          <w:szCs w:val="20"/>
        </w:rPr>
        <w:t xml:space="preserve"> </w:t>
      </w:r>
      <w:r w:rsidRPr="00577960">
        <w:rPr>
          <w:rFonts w:ascii="Helvetica-Condensed" w:hAnsi="Helvetica-Condensed" w:cs="Helvetica-Condensed"/>
          <w:color w:val="1F497D" w:themeColor="text2"/>
          <w:sz w:val="20"/>
          <w:szCs w:val="20"/>
        </w:rPr>
        <w:t xml:space="preserve">1 300 000 </w:t>
      </w:r>
      <w:r w:rsidRPr="00577960">
        <w:rPr>
          <w:rFonts w:ascii="EuroSans-Regular" w:hAnsi="EuroSans-Regular" w:cs="EuroSans-Regular"/>
          <w:color w:val="1F497D" w:themeColor="text2"/>
          <w:sz w:val="20"/>
          <w:szCs w:val="20"/>
        </w:rPr>
        <w:t>€</w:t>
      </w:r>
      <w:r w:rsidRPr="00577960">
        <w:rPr>
          <w:rFonts w:ascii="Helvetica-Condensed" w:hAnsi="Helvetica-Condensed" w:cs="Helvetica-Condensed"/>
          <w:color w:val="1F497D" w:themeColor="text2"/>
          <w:sz w:val="20"/>
          <w:szCs w:val="20"/>
        </w:rPr>
        <w:t>.</w:t>
      </w:r>
    </w:p>
    <w:p w:rsidR="00536EAB" w:rsidRDefault="00536EAB" w:rsidP="00DF4A65">
      <w:pPr>
        <w:autoSpaceDE w:val="0"/>
        <w:autoSpaceDN w:val="0"/>
        <w:adjustRightInd w:val="0"/>
        <w:spacing w:after="0" w:line="240" w:lineRule="auto"/>
        <w:jc w:val="left"/>
        <w:rPr>
          <w:rFonts w:ascii="Helvetica-Condensed-Bold" w:hAnsi="Helvetica-Condensed-Bold" w:cs="Helvetica-Condensed-Bold"/>
          <w:b/>
          <w:bCs/>
          <w:dstrike/>
          <w:color w:val="1F497D" w:themeColor="text2"/>
          <w:sz w:val="20"/>
          <w:szCs w:val="20"/>
          <w:highlight w:val="yellow"/>
        </w:rPr>
      </w:pPr>
    </w:p>
    <w:p w:rsidR="00536EAB" w:rsidRDefault="00536EAB" w:rsidP="00DF4A65">
      <w:pPr>
        <w:autoSpaceDE w:val="0"/>
        <w:autoSpaceDN w:val="0"/>
        <w:adjustRightInd w:val="0"/>
        <w:spacing w:after="0" w:line="240" w:lineRule="auto"/>
        <w:jc w:val="left"/>
        <w:rPr>
          <w:rFonts w:ascii="Helvetica-Condensed-Bold" w:hAnsi="Helvetica-Condensed-Bold" w:cs="Helvetica-Condensed-Bold"/>
          <w:b/>
          <w:bCs/>
          <w:color w:val="auto"/>
          <w:sz w:val="20"/>
          <w:szCs w:val="20"/>
        </w:rPr>
      </w:pPr>
      <w:r w:rsidRPr="00536EAB">
        <w:rPr>
          <w:rFonts w:ascii="Helvetica-Condensed-Bold" w:hAnsi="Helvetica-Condensed-Bold" w:cs="Helvetica-Condensed-Bold"/>
          <w:b/>
          <w:bCs/>
          <w:color w:val="auto"/>
          <w:sz w:val="20"/>
          <w:szCs w:val="20"/>
        </w:rPr>
        <w:t>Page 229</w:t>
      </w:r>
    </w:p>
    <w:p w:rsidR="00536EAB" w:rsidRPr="00536EAB" w:rsidRDefault="00536EAB" w:rsidP="00DF4A65">
      <w:pPr>
        <w:autoSpaceDE w:val="0"/>
        <w:autoSpaceDN w:val="0"/>
        <w:adjustRightInd w:val="0"/>
        <w:spacing w:after="0" w:line="240" w:lineRule="auto"/>
        <w:jc w:val="left"/>
        <w:rPr>
          <w:rFonts w:ascii="Helvetica-Condensed-Bold" w:hAnsi="Helvetica-Condensed-Bold" w:cs="Helvetica-Condensed-Bold"/>
          <w:b/>
          <w:bCs/>
          <w:color w:val="auto"/>
          <w:sz w:val="20"/>
          <w:szCs w:val="20"/>
        </w:rPr>
      </w:pPr>
      <w:r>
        <w:rPr>
          <w:rFonts w:ascii="Helvetica-Condensed-Bold" w:hAnsi="Helvetica-Condensed-Bold" w:cs="Helvetica-Condensed-Bold"/>
          <w:b/>
          <w:bCs/>
          <w:color w:val="auto"/>
          <w:sz w:val="20"/>
          <w:szCs w:val="20"/>
        </w:rPr>
        <w:t>Supprimer le texte :</w:t>
      </w:r>
    </w:p>
    <w:p w:rsidR="00DF4A65" w:rsidRPr="00D20070" w:rsidRDefault="00DF4A65" w:rsidP="00DF4A65">
      <w:pPr>
        <w:autoSpaceDE w:val="0"/>
        <w:autoSpaceDN w:val="0"/>
        <w:adjustRightInd w:val="0"/>
        <w:spacing w:after="0" w:line="240" w:lineRule="auto"/>
        <w:jc w:val="left"/>
        <w:rPr>
          <w:rFonts w:ascii="Helvetica-Condensed-Bold" w:hAnsi="Helvetica-Condensed-Bold" w:cs="Helvetica-Condensed-Bold"/>
          <w:b/>
          <w:bCs/>
          <w:dstrike/>
          <w:color w:val="1F497D" w:themeColor="text2"/>
          <w:sz w:val="20"/>
          <w:szCs w:val="20"/>
          <w:highlight w:val="yellow"/>
        </w:rPr>
      </w:pPr>
      <w:r w:rsidRPr="00D20070">
        <w:rPr>
          <w:rFonts w:ascii="Helvetica-Condensed-Bold" w:hAnsi="Helvetica-Condensed-Bold" w:cs="Helvetica-Condensed-Bold"/>
          <w:b/>
          <w:bCs/>
          <w:dstrike/>
          <w:color w:val="1F497D" w:themeColor="text2"/>
          <w:sz w:val="20"/>
          <w:szCs w:val="20"/>
          <w:highlight w:val="yellow"/>
        </w:rPr>
        <w:t>Procédures collectives</w:t>
      </w:r>
    </w:p>
    <w:p w:rsidR="00DF4A65" w:rsidRPr="00D20070" w:rsidRDefault="00DF4A65" w:rsidP="00DF4A65">
      <w:pPr>
        <w:autoSpaceDE w:val="0"/>
        <w:autoSpaceDN w:val="0"/>
        <w:adjustRightInd w:val="0"/>
        <w:spacing w:after="0" w:line="240" w:lineRule="auto"/>
        <w:jc w:val="left"/>
        <w:rPr>
          <w:rFonts w:ascii="Helvetica-Condensed" w:hAnsi="Helvetica-Condensed" w:cs="Helvetica-Condensed"/>
          <w:dstrike/>
          <w:color w:val="1F497D" w:themeColor="text2"/>
          <w:sz w:val="20"/>
          <w:szCs w:val="20"/>
          <w:highlight w:val="yellow"/>
        </w:rPr>
      </w:pPr>
      <w:r w:rsidRPr="00D20070">
        <w:rPr>
          <w:rFonts w:ascii="Helvetica-Condensed-Bold" w:hAnsi="Helvetica-Condensed-Bold" w:cs="Helvetica-Condensed-Bold"/>
          <w:b/>
          <w:bCs/>
          <w:dstrike/>
          <w:color w:val="1F497D" w:themeColor="text2"/>
          <w:sz w:val="20"/>
          <w:szCs w:val="20"/>
          <w:highlight w:val="yellow"/>
        </w:rPr>
        <w:t xml:space="preserve">Le Code de commerce </w:t>
      </w:r>
      <w:r w:rsidRPr="00D20070">
        <w:rPr>
          <w:rFonts w:ascii="Helvetica-Condensed" w:hAnsi="Helvetica-Condensed" w:cs="Helvetica-Condensed"/>
          <w:dstrike/>
          <w:color w:val="1F497D" w:themeColor="text2"/>
          <w:sz w:val="20"/>
          <w:szCs w:val="20"/>
          <w:highlight w:val="yellow"/>
        </w:rPr>
        <w:t>sanctionne à titre personnel les associés dirigeants d’une</w:t>
      </w:r>
    </w:p>
    <w:p w:rsidR="00DF4A65" w:rsidRPr="00D20070" w:rsidRDefault="00DF4A65" w:rsidP="00DF4A65">
      <w:pPr>
        <w:autoSpaceDE w:val="0"/>
        <w:autoSpaceDN w:val="0"/>
        <w:adjustRightInd w:val="0"/>
        <w:spacing w:after="0" w:line="240" w:lineRule="auto"/>
        <w:jc w:val="left"/>
        <w:rPr>
          <w:rFonts w:ascii="Helvetica-Condensed" w:hAnsi="Helvetica-Condensed" w:cs="Helvetica-Condensed"/>
          <w:dstrike/>
          <w:color w:val="1F497D" w:themeColor="text2"/>
          <w:sz w:val="20"/>
          <w:szCs w:val="20"/>
          <w:highlight w:val="yellow"/>
        </w:rPr>
      </w:pPr>
      <w:proofErr w:type="gramStart"/>
      <w:r w:rsidRPr="00D20070">
        <w:rPr>
          <w:rFonts w:ascii="Helvetica-Condensed" w:hAnsi="Helvetica-Condensed" w:cs="Helvetica-Condensed"/>
          <w:dstrike/>
          <w:color w:val="1F497D" w:themeColor="text2"/>
          <w:sz w:val="20"/>
          <w:szCs w:val="20"/>
          <w:highlight w:val="yellow"/>
        </w:rPr>
        <w:t>société</w:t>
      </w:r>
      <w:proofErr w:type="gramEnd"/>
      <w:r w:rsidRPr="00D20070">
        <w:rPr>
          <w:rFonts w:ascii="Helvetica-Condensed" w:hAnsi="Helvetica-Condensed" w:cs="Helvetica-Condensed"/>
          <w:dstrike/>
          <w:color w:val="1F497D" w:themeColor="text2"/>
          <w:sz w:val="20"/>
          <w:szCs w:val="20"/>
          <w:highlight w:val="yellow"/>
        </w:rPr>
        <w:t xml:space="preserve"> à l’encontre de laquelle il est relevé l’absence d’une comptabilité. Ces sanctions</w:t>
      </w:r>
    </w:p>
    <w:p w:rsidR="00DF4A65" w:rsidRDefault="00DF4A65" w:rsidP="00DF4A65">
      <w:pPr>
        <w:spacing w:after="0" w:line="240" w:lineRule="auto"/>
        <w:rPr>
          <w:rFonts w:ascii="Helvetica-Condensed" w:hAnsi="Helvetica-Condensed" w:cs="Helvetica-Condensed"/>
          <w:dstrike/>
          <w:color w:val="1F497D" w:themeColor="text2"/>
          <w:sz w:val="20"/>
          <w:szCs w:val="20"/>
        </w:rPr>
      </w:pPr>
      <w:proofErr w:type="gramStart"/>
      <w:r w:rsidRPr="00D20070">
        <w:rPr>
          <w:rFonts w:ascii="Helvetica-Condensed" w:hAnsi="Helvetica-Condensed" w:cs="Helvetica-Condensed"/>
          <w:dstrike/>
          <w:color w:val="1F497D" w:themeColor="text2"/>
          <w:sz w:val="20"/>
          <w:szCs w:val="20"/>
          <w:highlight w:val="yellow"/>
        </w:rPr>
        <w:t>s’appliquent</w:t>
      </w:r>
      <w:proofErr w:type="gramEnd"/>
      <w:r w:rsidRPr="00D20070">
        <w:rPr>
          <w:rFonts w:ascii="Helvetica-Condensed" w:hAnsi="Helvetica-Condensed" w:cs="Helvetica-Condensed"/>
          <w:dstrike/>
          <w:color w:val="1F497D" w:themeColor="text2"/>
          <w:sz w:val="20"/>
          <w:szCs w:val="20"/>
          <w:highlight w:val="yellow"/>
        </w:rPr>
        <w:t xml:space="preserve"> également lorsque les dirigeants ne sont pas associés.</w:t>
      </w:r>
    </w:p>
    <w:p w:rsidR="00DF4A65" w:rsidRDefault="00DF4A65" w:rsidP="00DF4A65">
      <w:pPr>
        <w:spacing w:after="0" w:line="240" w:lineRule="auto"/>
        <w:rPr>
          <w:rFonts w:ascii="Helvetica-Condensed" w:hAnsi="Helvetica-Condensed" w:cs="Helvetica-Condensed"/>
          <w:dstrike/>
          <w:color w:val="1F497D" w:themeColor="text2"/>
          <w:sz w:val="20"/>
          <w:szCs w:val="20"/>
        </w:rPr>
      </w:pPr>
    </w:p>
    <w:p w:rsidR="00DF4A65" w:rsidRPr="00536EAB" w:rsidRDefault="00DF4A65" w:rsidP="00DF4A65">
      <w:pPr>
        <w:spacing w:after="0" w:line="240" w:lineRule="auto"/>
        <w:rPr>
          <w:rFonts w:ascii="Helvetica-Condensed" w:hAnsi="Helvetica-Condensed" w:cs="Helvetica-Condensed"/>
          <w:b/>
          <w:color w:val="auto"/>
          <w:sz w:val="20"/>
          <w:szCs w:val="20"/>
        </w:rPr>
      </w:pPr>
      <w:r w:rsidRPr="00536EAB">
        <w:rPr>
          <w:rFonts w:ascii="Helvetica-Condensed" w:hAnsi="Helvetica-Condensed" w:cs="Helvetica-Condensed"/>
          <w:b/>
          <w:color w:val="auto"/>
          <w:sz w:val="20"/>
          <w:szCs w:val="20"/>
        </w:rPr>
        <w:t>Page 234</w:t>
      </w:r>
    </w:p>
    <w:p w:rsidR="00DF4A65" w:rsidRPr="00536EAB" w:rsidRDefault="00DF4A65" w:rsidP="00DF4A65">
      <w:pPr>
        <w:spacing w:after="0" w:line="240" w:lineRule="auto"/>
        <w:rPr>
          <w:rFonts w:ascii="Helvetica-Condensed" w:hAnsi="Helvetica-Condensed" w:cs="Helvetica-Condensed"/>
          <w:color w:val="auto"/>
          <w:sz w:val="20"/>
          <w:szCs w:val="20"/>
        </w:rPr>
      </w:pPr>
      <w:r w:rsidRPr="00536EAB">
        <w:rPr>
          <w:rFonts w:ascii="Helvetica-Condensed" w:hAnsi="Helvetica-Condensed" w:cs="Helvetica-Condensed"/>
          <w:color w:val="auto"/>
          <w:sz w:val="20"/>
          <w:szCs w:val="20"/>
        </w:rPr>
        <w:t>Dans le tableau, remplacer la ligne « Redressement et liquidation judiciaire » par</w:t>
      </w:r>
    </w:p>
    <w:tbl>
      <w:tblPr>
        <w:tblStyle w:val="Grilledutableau"/>
        <w:tblW w:w="0" w:type="auto"/>
        <w:tblLook w:val="04A0"/>
      </w:tblPr>
      <w:tblGrid>
        <w:gridCol w:w="1526"/>
        <w:gridCol w:w="7686"/>
      </w:tblGrid>
      <w:tr w:rsidR="00DF4A65" w:rsidTr="00DF4A65">
        <w:tc>
          <w:tcPr>
            <w:tcW w:w="1526" w:type="dxa"/>
          </w:tcPr>
          <w:p w:rsidR="00DF4A65" w:rsidRPr="00D20070" w:rsidRDefault="00DF4A65" w:rsidP="00DF4A6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Helvetica-Condensed-Bold" w:hAnsi="Helvetica-Condensed-Bold" w:cs="Helvetica-Condensed-Bold"/>
                <w:b/>
                <w:bCs/>
                <w:color w:val="1F497D" w:themeColor="text2"/>
                <w:sz w:val="20"/>
                <w:szCs w:val="20"/>
                <w:highlight w:val="yellow"/>
              </w:rPr>
            </w:pPr>
            <w:r w:rsidRPr="00D20070">
              <w:rPr>
                <w:rFonts w:ascii="Helvetica-Condensed-Bold" w:hAnsi="Helvetica-Condensed-Bold" w:cs="Helvetica-Condensed-Bold"/>
                <w:b/>
                <w:bCs/>
                <w:color w:val="1F497D" w:themeColor="text2"/>
                <w:sz w:val="20"/>
                <w:szCs w:val="20"/>
                <w:highlight w:val="yellow"/>
              </w:rPr>
              <w:t>Procédures collectives</w:t>
            </w:r>
          </w:p>
          <w:p w:rsidR="00DF4A65" w:rsidRPr="00D20070" w:rsidRDefault="00DF4A65" w:rsidP="00DF4A65">
            <w:pPr>
              <w:spacing w:after="0" w:line="240" w:lineRule="auto"/>
              <w:rPr>
                <w:rFonts w:ascii="Helvetica-Condensed" w:hAnsi="Helvetica-Condensed" w:cs="Helvetica-Condensed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7686" w:type="dxa"/>
          </w:tcPr>
          <w:p w:rsidR="00DF4A65" w:rsidRPr="00D20070" w:rsidRDefault="00DF4A65" w:rsidP="00DF4A6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Helvetica-Condensed" w:hAnsi="Helvetica-Condensed" w:cs="Helvetica-Condensed"/>
                <w:color w:val="1F497D" w:themeColor="text2"/>
                <w:sz w:val="20"/>
                <w:szCs w:val="20"/>
                <w:highlight w:val="yellow"/>
              </w:rPr>
            </w:pPr>
            <w:r w:rsidRPr="00D20070">
              <w:rPr>
                <w:rFonts w:ascii="Helvetica-Condensed-Bold" w:hAnsi="Helvetica-Condensed-Bold" w:cs="Helvetica-Condensed-Bold"/>
                <w:b/>
                <w:bCs/>
                <w:color w:val="1F497D" w:themeColor="text2"/>
                <w:sz w:val="20"/>
                <w:szCs w:val="20"/>
                <w:highlight w:val="yellow"/>
              </w:rPr>
              <w:t xml:space="preserve">Le Code de commerce </w:t>
            </w:r>
            <w:r w:rsidRPr="00D20070">
              <w:rPr>
                <w:rFonts w:ascii="Helvetica-Condensed" w:hAnsi="Helvetica-Condensed" w:cs="Helvetica-Condensed"/>
                <w:color w:val="1F497D" w:themeColor="text2"/>
                <w:sz w:val="20"/>
                <w:szCs w:val="20"/>
                <w:highlight w:val="yellow"/>
              </w:rPr>
              <w:t>sanctionne à titre personnel les associés dirigeants d’une</w:t>
            </w:r>
          </w:p>
          <w:p w:rsidR="00DF4A65" w:rsidRPr="00DF4A65" w:rsidRDefault="00DF4A65" w:rsidP="00DF4A6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Helvetica-Condensed" w:hAnsi="Helvetica-Condensed" w:cs="Helvetica-Condensed"/>
                <w:color w:val="1F497D" w:themeColor="text2"/>
                <w:sz w:val="20"/>
                <w:szCs w:val="20"/>
              </w:rPr>
            </w:pPr>
            <w:r w:rsidRPr="00D20070">
              <w:rPr>
                <w:rFonts w:ascii="Helvetica-Condensed" w:hAnsi="Helvetica-Condensed" w:cs="Helvetica-Condensed"/>
                <w:color w:val="1F497D" w:themeColor="text2"/>
                <w:sz w:val="20"/>
                <w:szCs w:val="20"/>
                <w:highlight w:val="yellow"/>
              </w:rPr>
              <w:t>société à l’encontre de laquelle il est relevé l’absence d’une comptabilité. Ces sanctions s’appliquent également lorsque les dirigeants ne sont pas associés.</w:t>
            </w:r>
          </w:p>
        </w:tc>
      </w:tr>
    </w:tbl>
    <w:p w:rsidR="00DF4A65" w:rsidRDefault="00DF4A65" w:rsidP="00DF4A65">
      <w:pPr>
        <w:spacing w:after="0" w:line="240" w:lineRule="auto"/>
        <w:rPr>
          <w:rFonts w:ascii="Helvetica-Condensed" w:hAnsi="Helvetica-Condensed" w:cs="Helvetica-Condensed"/>
          <w:color w:val="auto"/>
          <w:sz w:val="20"/>
          <w:szCs w:val="20"/>
        </w:rPr>
      </w:pPr>
    </w:p>
    <w:p w:rsidR="001F7436" w:rsidRPr="00536EAB" w:rsidRDefault="00FA44E4" w:rsidP="00DF4A65">
      <w:pPr>
        <w:spacing w:after="0" w:line="240" w:lineRule="auto"/>
        <w:rPr>
          <w:b/>
          <w:color w:val="auto"/>
        </w:rPr>
      </w:pPr>
      <w:r w:rsidRPr="00536EAB">
        <w:rPr>
          <w:b/>
          <w:color w:val="auto"/>
        </w:rPr>
        <w:t>Page 268</w:t>
      </w:r>
    </w:p>
    <w:p w:rsidR="00FA44E4" w:rsidRPr="00536EAB" w:rsidRDefault="00536EAB" w:rsidP="00DF4A65">
      <w:pPr>
        <w:spacing w:after="0" w:line="240" w:lineRule="auto"/>
        <w:rPr>
          <w:b/>
          <w:i/>
          <w:color w:val="auto"/>
        </w:rPr>
      </w:pPr>
      <w:r w:rsidRPr="00536EAB">
        <w:rPr>
          <w:b/>
          <w:i/>
          <w:color w:val="auto"/>
        </w:rPr>
        <w:t>Le titre du tableau devient :</w:t>
      </w:r>
    </w:p>
    <w:p w:rsidR="00FA44E4" w:rsidRPr="00536EAB" w:rsidRDefault="00FA44E4" w:rsidP="00FA44E4">
      <w:pPr>
        <w:spacing w:after="0" w:line="240" w:lineRule="auto"/>
        <w:jc w:val="center"/>
        <w:rPr>
          <w:rFonts w:ascii="GillSans-Bold" w:hAnsi="GillSans-Bold" w:cs="GillSans-Bold"/>
          <w:b/>
          <w:bCs/>
          <w:sz w:val="20"/>
          <w:szCs w:val="20"/>
        </w:rPr>
      </w:pPr>
      <w:r w:rsidRPr="00536EAB">
        <w:rPr>
          <w:rFonts w:ascii="GillSans-Bold" w:hAnsi="GillSans-Bold" w:cs="GillSans-Bold"/>
          <w:b/>
          <w:bCs/>
          <w:sz w:val="20"/>
          <w:szCs w:val="20"/>
        </w:rPr>
        <w:t xml:space="preserve">SCI </w:t>
      </w:r>
      <w:r w:rsidRPr="00536EAB">
        <w:rPr>
          <w:rFonts w:ascii="GillSans-Bold" w:hAnsi="GillSans-Bold" w:cs="GillSans-Bold"/>
          <w:b/>
          <w:bCs/>
          <w:color w:val="1F497D" w:themeColor="text2"/>
          <w:sz w:val="20"/>
          <w:szCs w:val="20"/>
          <w:highlight w:val="yellow"/>
        </w:rPr>
        <w:t>à l’IR</w:t>
      </w:r>
      <w:r w:rsidRPr="00536EAB">
        <w:rPr>
          <w:rFonts w:ascii="GillSans-Bold" w:hAnsi="GillSans-Bold" w:cs="GillSans-Bold"/>
          <w:b/>
          <w:bCs/>
          <w:sz w:val="20"/>
          <w:szCs w:val="20"/>
        </w:rPr>
        <w:t xml:space="preserve"> et exonérations des plus-values</w:t>
      </w:r>
    </w:p>
    <w:p w:rsidR="00FA44E4" w:rsidRDefault="00FA44E4" w:rsidP="00FA44E4">
      <w:pPr>
        <w:spacing w:after="0" w:line="240" w:lineRule="auto"/>
        <w:jc w:val="center"/>
        <w:rPr>
          <w:rFonts w:ascii="Helvetica-Condensed-Bold" w:hAnsi="Helvetica-Condensed-Bold" w:cs="Helvetica-Condensed-Bold"/>
          <w:b/>
          <w:bCs/>
          <w:color w:val="1F497D" w:themeColor="text2"/>
          <w:sz w:val="18"/>
          <w:szCs w:val="18"/>
        </w:rPr>
      </w:pPr>
      <w:r w:rsidRPr="00536EAB">
        <w:rPr>
          <w:rFonts w:ascii="Helvetica-Condensed-Bold" w:hAnsi="Helvetica-Condensed-Bold" w:cs="Helvetica-Condensed-Bold"/>
          <w:b/>
          <w:bCs/>
          <w:color w:val="1F497D" w:themeColor="text2"/>
          <w:sz w:val="18"/>
          <w:szCs w:val="18"/>
          <w:highlight w:val="yellow"/>
        </w:rPr>
        <w:t>Cession de l’immeuble détenu par la SCI ou cession des parts sociales.</w:t>
      </w:r>
    </w:p>
    <w:p w:rsidR="00FA44E4" w:rsidRDefault="00FA44E4" w:rsidP="00FA44E4">
      <w:pPr>
        <w:spacing w:after="0" w:line="240" w:lineRule="auto"/>
        <w:rPr>
          <w:rFonts w:ascii="Helvetica-Condensed-Bold" w:hAnsi="Helvetica-Condensed-Bold" w:cs="Helvetica-Condensed-Bold"/>
          <w:b/>
          <w:bCs/>
          <w:color w:val="1F497D" w:themeColor="text2"/>
          <w:sz w:val="18"/>
          <w:szCs w:val="18"/>
        </w:rPr>
      </w:pPr>
    </w:p>
    <w:p w:rsidR="00717EFB" w:rsidRPr="00536EAB" w:rsidRDefault="00717EFB" w:rsidP="00536E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36EAB">
        <w:rPr>
          <w:rFonts w:ascii="Arial" w:hAnsi="Arial" w:cs="Arial"/>
          <w:b/>
          <w:sz w:val="20"/>
          <w:szCs w:val="20"/>
        </w:rPr>
        <w:t>Page 310</w:t>
      </w:r>
    </w:p>
    <w:p w:rsidR="00717EFB" w:rsidRPr="00536EAB" w:rsidRDefault="00717EFB" w:rsidP="00536EAB">
      <w:p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</w:rPr>
      </w:pPr>
      <w:r w:rsidRPr="00536EAB">
        <w:rPr>
          <w:rFonts w:ascii="Times-Roman" w:hAnsi="Times-Roman" w:cs="Times-Roman"/>
        </w:rPr>
        <w:t xml:space="preserve">La SARL loue meublé et assure des prestations </w:t>
      </w:r>
      <w:proofErr w:type="spellStart"/>
      <w:r w:rsidRPr="00536EAB">
        <w:rPr>
          <w:rFonts w:ascii="Times-Roman" w:hAnsi="Times-Roman" w:cs="Times-Roman"/>
        </w:rPr>
        <w:t>parahotelières</w:t>
      </w:r>
      <w:proofErr w:type="spellEnd"/>
      <w:r w:rsidRPr="00536EAB">
        <w:rPr>
          <w:rFonts w:ascii="Times-Roman" w:hAnsi="Times-Roman" w:cs="Times-Roman"/>
        </w:rPr>
        <w:t>. La</w:t>
      </w:r>
      <w:r w:rsidR="00536EAB">
        <w:rPr>
          <w:rFonts w:ascii="Times-Roman" w:hAnsi="Times-Roman" w:cs="Times-Roman"/>
        </w:rPr>
        <w:t xml:space="preserve"> </w:t>
      </w:r>
      <w:r w:rsidRPr="00536EAB">
        <w:rPr>
          <w:rFonts w:ascii="Times-Roman" w:hAnsi="Times-Roman" w:cs="Times-Roman"/>
        </w:rPr>
        <w:t xml:space="preserve">location est donc soumise à la TVA au taux de </w:t>
      </w:r>
      <w:r w:rsidRPr="00536EAB">
        <w:rPr>
          <w:rFonts w:ascii="Times-Roman" w:hAnsi="Times-Roman" w:cs="Times-Roman"/>
          <w:color w:val="1F497D" w:themeColor="text2"/>
          <w:highlight w:val="yellow"/>
        </w:rPr>
        <w:t>10 %</w:t>
      </w:r>
      <w:r w:rsidRPr="00536EAB">
        <w:rPr>
          <w:rFonts w:ascii="Times-Roman" w:hAnsi="Times-Roman" w:cs="Times-Roman"/>
        </w:rPr>
        <w:t>. La TVA sur</w:t>
      </w:r>
      <w:r w:rsidR="00536EAB">
        <w:rPr>
          <w:rFonts w:ascii="Times-Roman" w:hAnsi="Times-Roman" w:cs="Times-Roman"/>
        </w:rPr>
        <w:t xml:space="preserve"> </w:t>
      </w:r>
      <w:r w:rsidRPr="00536EAB">
        <w:rPr>
          <w:rFonts w:ascii="Times-Roman" w:hAnsi="Times-Roman" w:cs="Times-Roman"/>
        </w:rPr>
        <w:t xml:space="preserve">l’acquisition au taux de </w:t>
      </w:r>
      <w:r w:rsidRPr="00536EAB">
        <w:rPr>
          <w:rFonts w:ascii="Times-Roman" w:hAnsi="Times-Roman" w:cs="Times-Roman"/>
          <w:color w:val="1F497D" w:themeColor="text2"/>
          <w:highlight w:val="yellow"/>
        </w:rPr>
        <w:t>20 %</w:t>
      </w:r>
      <w:r w:rsidRPr="00536EAB">
        <w:rPr>
          <w:rFonts w:ascii="Times-Roman" w:hAnsi="Times-Roman" w:cs="Times-Roman"/>
        </w:rPr>
        <w:t xml:space="preserve"> est récupérée.</w:t>
      </w:r>
    </w:p>
    <w:p w:rsidR="00717EFB" w:rsidRDefault="00717EFB" w:rsidP="00536EA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536EAB">
        <w:rPr>
          <w:rFonts w:ascii="Times-Roman" w:hAnsi="Times-Roman" w:cs="Times-Roman"/>
        </w:rPr>
        <w:t xml:space="preserve">Au final, la SCI facture à la SARL un loyer avec une TVA à </w:t>
      </w:r>
      <w:r w:rsidRPr="00536EAB">
        <w:rPr>
          <w:rFonts w:ascii="Times-Roman" w:hAnsi="Times-Roman" w:cs="Times-Roman"/>
          <w:color w:val="1F497D" w:themeColor="text2"/>
          <w:highlight w:val="yellow"/>
        </w:rPr>
        <w:t>10 %</w:t>
      </w:r>
      <w:r w:rsidRPr="00536EAB">
        <w:rPr>
          <w:rFonts w:ascii="Times-Roman" w:hAnsi="Times-Roman" w:cs="Times-Roman"/>
        </w:rPr>
        <w:t xml:space="preserve"> et</w:t>
      </w:r>
      <w:r w:rsidR="00536EAB">
        <w:rPr>
          <w:rFonts w:ascii="Times-Roman" w:hAnsi="Times-Roman" w:cs="Times-Roman"/>
        </w:rPr>
        <w:t xml:space="preserve"> </w:t>
      </w:r>
      <w:r w:rsidRPr="00536EAB">
        <w:rPr>
          <w:rFonts w:ascii="Times-Roman" w:hAnsi="Times-Roman" w:cs="Times-Roman"/>
        </w:rPr>
        <w:t>récupère la TVA sur l’acquisition de l’immeuble.</w:t>
      </w:r>
    </w:p>
    <w:p w:rsidR="003B7739" w:rsidRDefault="003B773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D30B25" w:rsidRPr="00C04CD5" w:rsidRDefault="00D30B25" w:rsidP="00536E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04CD5">
        <w:rPr>
          <w:rFonts w:ascii="Arial" w:hAnsi="Arial" w:cs="Arial"/>
          <w:b/>
          <w:sz w:val="20"/>
          <w:szCs w:val="20"/>
        </w:rPr>
        <w:lastRenderedPageBreak/>
        <w:t>Page 311</w:t>
      </w:r>
    </w:p>
    <w:p w:rsidR="00D30B25" w:rsidRPr="00820EC8" w:rsidRDefault="00D30B25" w:rsidP="00536EAB">
      <w:pPr>
        <w:spacing w:after="0" w:line="240" w:lineRule="auto"/>
        <w:rPr>
          <w:rFonts w:ascii="Arial" w:hAnsi="Arial" w:cs="Arial"/>
          <w:color w:val="1F497D" w:themeColor="text2"/>
          <w:sz w:val="20"/>
          <w:szCs w:val="20"/>
        </w:rPr>
      </w:pPr>
      <w:r w:rsidRPr="00C04CD5">
        <w:rPr>
          <w:rFonts w:ascii="Arial" w:hAnsi="Arial" w:cs="Arial"/>
          <w:sz w:val="20"/>
          <w:szCs w:val="20"/>
        </w:rPr>
        <w:t xml:space="preserve">Dans le schéma </w:t>
      </w:r>
      <w:r w:rsidR="00C04CD5" w:rsidRPr="00C04CD5">
        <w:rPr>
          <w:rFonts w:ascii="Arial" w:hAnsi="Arial" w:cs="Arial"/>
          <w:sz w:val="20"/>
          <w:szCs w:val="20"/>
        </w:rPr>
        <w:t xml:space="preserve">lire deux </w:t>
      </w:r>
      <w:r w:rsidRPr="00C04CD5">
        <w:rPr>
          <w:rFonts w:ascii="Arial" w:hAnsi="Arial" w:cs="Arial"/>
          <w:sz w:val="20"/>
          <w:szCs w:val="20"/>
        </w:rPr>
        <w:t>fois</w:t>
      </w:r>
      <w:r w:rsidR="00C04CD5" w:rsidRPr="00C04CD5">
        <w:rPr>
          <w:rFonts w:ascii="Arial" w:hAnsi="Arial" w:cs="Arial"/>
          <w:sz w:val="20"/>
          <w:szCs w:val="20"/>
        </w:rPr>
        <w:t xml:space="preserve"> </w:t>
      </w:r>
      <w:r w:rsidRPr="00C04CD5">
        <w:rPr>
          <w:rFonts w:ascii="Arial" w:hAnsi="Arial" w:cs="Arial"/>
          <w:sz w:val="20"/>
          <w:szCs w:val="20"/>
        </w:rPr>
        <w:t xml:space="preserve">: </w:t>
      </w:r>
      <w:r w:rsidRPr="00C04CD5">
        <w:rPr>
          <w:rFonts w:ascii="Helvetica-Condensed" w:hAnsi="Helvetica-Condensed" w:cs="Helvetica-Condensed"/>
          <w:color w:val="1F497D" w:themeColor="text2"/>
          <w:sz w:val="17"/>
          <w:szCs w:val="17"/>
          <w:highlight w:val="yellow"/>
        </w:rPr>
        <w:t>Loyers à 10 %</w:t>
      </w:r>
    </w:p>
    <w:p w:rsidR="00C04CD5" w:rsidRDefault="00C04CD5" w:rsidP="003B7739">
      <w:pPr>
        <w:autoSpaceDE w:val="0"/>
        <w:autoSpaceDN w:val="0"/>
        <w:adjustRightInd w:val="0"/>
        <w:spacing w:after="0" w:line="240" w:lineRule="auto"/>
        <w:jc w:val="left"/>
        <w:rPr>
          <w:rFonts w:ascii="Helvetica-Condensed-Bold" w:hAnsi="Helvetica-Condensed-Bold" w:cs="Helvetica-Condensed-Bold"/>
          <w:b/>
          <w:bCs/>
          <w:sz w:val="20"/>
          <w:szCs w:val="20"/>
          <w:highlight w:val="yellow"/>
        </w:rPr>
      </w:pPr>
    </w:p>
    <w:p w:rsidR="00C04CD5" w:rsidRPr="00C04CD5" w:rsidRDefault="00C04CD5" w:rsidP="003B7739">
      <w:pPr>
        <w:autoSpaceDE w:val="0"/>
        <w:autoSpaceDN w:val="0"/>
        <w:adjustRightInd w:val="0"/>
        <w:spacing w:after="0" w:line="240" w:lineRule="auto"/>
        <w:jc w:val="left"/>
        <w:rPr>
          <w:rFonts w:ascii="Helvetica-Condensed-Bold" w:hAnsi="Helvetica-Condensed-Bold" w:cs="Helvetica-Condensed-Bold"/>
          <w:b/>
          <w:bCs/>
          <w:sz w:val="20"/>
          <w:szCs w:val="20"/>
        </w:rPr>
      </w:pPr>
      <w:r w:rsidRPr="00C04CD5">
        <w:rPr>
          <w:rFonts w:ascii="Helvetica-Condensed-Bold" w:hAnsi="Helvetica-Condensed-Bold" w:cs="Helvetica-Condensed-Bold"/>
          <w:b/>
          <w:bCs/>
          <w:sz w:val="20"/>
          <w:szCs w:val="20"/>
        </w:rPr>
        <w:t>Dans le cas n° 73</w:t>
      </w:r>
    </w:p>
    <w:p w:rsidR="003B7739" w:rsidRPr="00C04CD5" w:rsidRDefault="003B7739" w:rsidP="00C04CD5">
      <w:pPr>
        <w:autoSpaceDE w:val="0"/>
        <w:autoSpaceDN w:val="0"/>
        <w:adjustRightInd w:val="0"/>
        <w:spacing w:after="0" w:line="240" w:lineRule="auto"/>
        <w:rPr>
          <w:rFonts w:ascii="Helvetica-Condensed-Bold" w:hAnsi="Helvetica-Condensed-Bold" w:cs="Helvetica-Condensed-Bold"/>
          <w:b/>
          <w:bCs/>
          <w:sz w:val="20"/>
          <w:szCs w:val="20"/>
        </w:rPr>
      </w:pPr>
      <w:r w:rsidRPr="00C04CD5">
        <w:rPr>
          <w:rFonts w:ascii="Helvetica-Condensed-Bold" w:hAnsi="Helvetica-Condensed-Bold" w:cs="Helvetica-Condensed-Bold"/>
          <w:b/>
          <w:bCs/>
          <w:sz w:val="20"/>
          <w:szCs w:val="20"/>
        </w:rPr>
        <w:t>Récupérer la TVA procure un avantage énorme de trésorerie !</w:t>
      </w:r>
    </w:p>
    <w:p w:rsidR="003B7739" w:rsidRPr="00C04CD5" w:rsidRDefault="003B7739" w:rsidP="00C04CD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9"/>
          <w:szCs w:val="19"/>
        </w:rPr>
      </w:pPr>
      <w:r w:rsidRPr="00C04CD5">
        <w:rPr>
          <w:rFonts w:ascii="Helvetica" w:hAnsi="Helvetica" w:cs="Helvetica"/>
          <w:sz w:val="19"/>
          <w:szCs w:val="19"/>
        </w:rPr>
        <w:t>Pour déduire la TVA sur les achats, il faut collecter la TVA sur les ventes. Ainsi,</w:t>
      </w:r>
      <w:r w:rsidR="00C04CD5" w:rsidRPr="00C04CD5">
        <w:rPr>
          <w:rFonts w:ascii="Helvetica" w:hAnsi="Helvetica" w:cs="Helvetica"/>
          <w:sz w:val="19"/>
          <w:szCs w:val="19"/>
        </w:rPr>
        <w:t xml:space="preserve"> </w:t>
      </w:r>
      <w:r w:rsidRPr="00C04CD5">
        <w:rPr>
          <w:rFonts w:ascii="Helvetica" w:hAnsi="Helvetica" w:cs="Helvetica"/>
          <w:sz w:val="19"/>
          <w:szCs w:val="19"/>
        </w:rPr>
        <w:t xml:space="preserve">la SCI qui collecte de la TVA à </w:t>
      </w:r>
      <w:r w:rsidRPr="00C04CD5">
        <w:rPr>
          <w:rFonts w:ascii="Helvetica" w:hAnsi="Helvetica" w:cs="Helvetica"/>
          <w:color w:val="1F497D" w:themeColor="text2"/>
          <w:sz w:val="19"/>
          <w:szCs w:val="19"/>
          <w:highlight w:val="yellow"/>
        </w:rPr>
        <w:t>10 %</w:t>
      </w:r>
      <w:r w:rsidRPr="00C04CD5">
        <w:rPr>
          <w:rFonts w:ascii="Helvetica" w:hAnsi="Helvetica" w:cs="Helvetica"/>
          <w:sz w:val="19"/>
          <w:szCs w:val="19"/>
        </w:rPr>
        <w:t xml:space="preserve"> sur ses loyers, peut déduire la TVA à 20 %</w:t>
      </w:r>
      <w:r w:rsidR="00C04CD5" w:rsidRPr="00C04CD5">
        <w:rPr>
          <w:rFonts w:ascii="Helvetica" w:hAnsi="Helvetica" w:cs="Helvetica"/>
          <w:sz w:val="19"/>
          <w:szCs w:val="19"/>
        </w:rPr>
        <w:t xml:space="preserve"> </w:t>
      </w:r>
      <w:r w:rsidRPr="00C04CD5">
        <w:rPr>
          <w:rFonts w:ascii="Helvetica" w:hAnsi="Helvetica" w:cs="Helvetica"/>
          <w:sz w:val="19"/>
          <w:szCs w:val="19"/>
        </w:rPr>
        <w:t>sur l’acquisition de son immeuble neuf. Elle récupère immédiatement la TVA sur</w:t>
      </w:r>
      <w:r w:rsidR="00C04CD5" w:rsidRPr="00C04CD5">
        <w:rPr>
          <w:rFonts w:ascii="Helvetica" w:hAnsi="Helvetica" w:cs="Helvetica"/>
          <w:sz w:val="19"/>
          <w:szCs w:val="19"/>
        </w:rPr>
        <w:t xml:space="preserve"> </w:t>
      </w:r>
      <w:r w:rsidRPr="00C04CD5">
        <w:rPr>
          <w:rFonts w:ascii="Helvetica" w:hAnsi="Helvetica" w:cs="Helvetica"/>
          <w:sz w:val="19"/>
          <w:szCs w:val="19"/>
        </w:rPr>
        <w:t>l’immeuble et reverse la TVA exigible sur les loyers lors du paiement des loyers.</w:t>
      </w:r>
      <w:r w:rsidR="00C04CD5" w:rsidRPr="00C04CD5">
        <w:rPr>
          <w:rFonts w:ascii="Helvetica" w:hAnsi="Helvetica" w:cs="Helvetica"/>
          <w:sz w:val="19"/>
          <w:szCs w:val="19"/>
        </w:rPr>
        <w:t xml:space="preserve"> </w:t>
      </w:r>
      <w:r w:rsidRPr="00C04CD5">
        <w:rPr>
          <w:rFonts w:ascii="Helvetica" w:hAnsi="Helvetica" w:cs="Helvetica"/>
          <w:sz w:val="19"/>
          <w:szCs w:val="19"/>
        </w:rPr>
        <w:t>Au final, c’est un jeu à somme nulle, mais qui procure un avantage de trésorerie</w:t>
      </w:r>
      <w:r w:rsidR="00C04CD5" w:rsidRPr="00C04CD5">
        <w:rPr>
          <w:rFonts w:ascii="Helvetica" w:hAnsi="Helvetica" w:cs="Helvetica"/>
          <w:sz w:val="19"/>
          <w:szCs w:val="19"/>
        </w:rPr>
        <w:t xml:space="preserve"> </w:t>
      </w:r>
      <w:r w:rsidRPr="00C04CD5">
        <w:rPr>
          <w:rFonts w:ascii="Helvetica" w:hAnsi="Helvetica" w:cs="Helvetica"/>
          <w:sz w:val="19"/>
          <w:szCs w:val="19"/>
        </w:rPr>
        <w:t>immédiat.</w:t>
      </w:r>
    </w:p>
    <w:p w:rsidR="003B7739" w:rsidRPr="00C04CD5" w:rsidRDefault="003B7739" w:rsidP="00C04CD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9"/>
          <w:szCs w:val="19"/>
        </w:rPr>
      </w:pPr>
      <w:r w:rsidRPr="00C04CD5">
        <w:rPr>
          <w:rFonts w:ascii="Helvetica" w:hAnsi="Helvetica" w:cs="Helvetica"/>
          <w:sz w:val="19"/>
          <w:szCs w:val="19"/>
        </w:rPr>
        <w:t xml:space="preserve">Pour un appartement acheté 100 000 </w:t>
      </w:r>
      <w:r w:rsidRPr="00C04CD5">
        <w:rPr>
          <w:rFonts w:ascii="EuroSans-Regular" w:hAnsi="EuroSans-Regular" w:cs="EuroSans-Regular"/>
          <w:sz w:val="19"/>
          <w:szCs w:val="19"/>
        </w:rPr>
        <w:t xml:space="preserve">€ </w:t>
      </w:r>
      <w:r w:rsidRPr="00C04CD5">
        <w:rPr>
          <w:rFonts w:ascii="Helvetica" w:hAnsi="Helvetica" w:cs="Helvetica"/>
          <w:sz w:val="19"/>
          <w:szCs w:val="19"/>
        </w:rPr>
        <w:t xml:space="preserve">HT, </w:t>
      </w:r>
      <w:r w:rsidRPr="00C04CD5">
        <w:rPr>
          <w:rFonts w:ascii="Helvetica" w:hAnsi="Helvetica" w:cs="Helvetica"/>
          <w:color w:val="1F497D" w:themeColor="text2"/>
          <w:sz w:val="19"/>
          <w:szCs w:val="19"/>
          <w:highlight w:val="yellow"/>
        </w:rPr>
        <w:t>la SCI,</w:t>
      </w:r>
      <w:r w:rsidRPr="00C04CD5">
        <w:rPr>
          <w:rFonts w:ascii="Helvetica" w:hAnsi="Helvetica" w:cs="Helvetica"/>
          <w:sz w:val="19"/>
          <w:szCs w:val="19"/>
        </w:rPr>
        <w:t xml:space="preserve"> qui a opté pour la TVA, récupère</w:t>
      </w:r>
      <w:r w:rsidR="00C04CD5" w:rsidRPr="00C04CD5">
        <w:rPr>
          <w:rFonts w:ascii="Helvetica" w:hAnsi="Helvetica" w:cs="Helvetica"/>
          <w:sz w:val="19"/>
          <w:szCs w:val="19"/>
        </w:rPr>
        <w:t xml:space="preserve"> </w:t>
      </w:r>
      <w:r w:rsidRPr="00C04CD5">
        <w:rPr>
          <w:rFonts w:ascii="Helvetica" w:hAnsi="Helvetica" w:cs="Helvetica"/>
          <w:sz w:val="19"/>
          <w:szCs w:val="19"/>
        </w:rPr>
        <w:t xml:space="preserve">immédiatement 20 000 </w:t>
      </w:r>
      <w:r w:rsidRPr="00C04CD5">
        <w:rPr>
          <w:rFonts w:ascii="EuroSans-Regular" w:hAnsi="EuroSans-Regular" w:cs="EuroSans-Regular"/>
          <w:sz w:val="19"/>
          <w:szCs w:val="19"/>
        </w:rPr>
        <w:t xml:space="preserve">€ </w:t>
      </w:r>
      <w:r w:rsidRPr="00C04CD5">
        <w:rPr>
          <w:rFonts w:ascii="Helvetica" w:hAnsi="Helvetica" w:cs="Helvetica"/>
          <w:sz w:val="19"/>
          <w:szCs w:val="19"/>
        </w:rPr>
        <w:t>de TVA. Si elle loue à un taux de 5 % du prix HT</w:t>
      </w:r>
      <w:r w:rsidR="00C04CD5" w:rsidRPr="00C04CD5">
        <w:rPr>
          <w:rFonts w:ascii="Helvetica" w:hAnsi="Helvetica" w:cs="Helvetica"/>
          <w:sz w:val="19"/>
          <w:szCs w:val="19"/>
        </w:rPr>
        <w:t xml:space="preserve"> </w:t>
      </w:r>
      <w:r w:rsidRPr="00C04CD5">
        <w:rPr>
          <w:rFonts w:ascii="Helvetica" w:hAnsi="Helvetica" w:cs="Helvetica"/>
          <w:sz w:val="19"/>
          <w:szCs w:val="19"/>
        </w:rPr>
        <w:t xml:space="preserve">de l’immeuble, elle encaisse un loyer annuel de 5 000 </w:t>
      </w:r>
      <w:r w:rsidRPr="00C04CD5">
        <w:rPr>
          <w:rFonts w:ascii="EuroSans-Regular" w:hAnsi="EuroSans-Regular" w:cs="EuroSans-Regular"/>
          <w:sz w:val="19"/>
          <w:szCs w:val="19"/>
        </w:rPr>
        <w:t xml:space="preserve">€ </w:t>
      </w:r>
      <w:r w:rsidRPr="00C04CD5">
        <w:rPr>
          <w:rFonts w:ascii="Helvetica" w:hAnsi="Helvetica" w:cs="Helvetica"/>
          <w:sz w:val="19"/>
          <w:szCs w:val="19"/>
        </w:rPr>
        <w:t>HT et reverse au Trésor</w:t>
      </w:r>
      <w:r w:rsidR="00C04CD5" w:rsidRPr="00C04CD5">
        <w:rPr>
          <w:rFonts w:ascii="Helvetica" w:hAnsi="Helvetica" w:cs="Helvetica"/>
          <w:sz w:val="19"/>
          <w:szCs w:val="19"/>
        </w:rPr>
        <w:t xml:space="preserve"> </w:t>
      </w:r>
      <w:r w:rsidRPr="00C04CD5">
        <w:rPr>
          <w:rFonts w:ascii="Helvetica" w:hAnsi="Helvetica" w:cs="Helvetica"/>
          <w:sz w:val="19"/>
          <w:szCs w:val="19"/>
        </w:rPr>
        <w:t xml:space="preserve">public une TVA collectée de 500 </w:t>
      </w:r>
      <w:r w:rsidRPr="00C04CD5">
        <w:rPr>
          <w:rFonts w:ascii="EuroSans-Regular" w:hAnsi="EuroSans-Regular" w:cs="EuroSans-Regular"/>
          <w:sz w:val="19"/>
          <w:szCs w:val="19"/>
        </w:rPr>
        <w:t>€</w:t>
      </w:r>
      <w:r w:rsidRPr="00C04CD5">
        <w:rPr>
          <w:rFonts w:ascii="Helvetica" w:hAnsi="Helvetica" w:cs="Helvetica"/>
          <w:sz w:val="19"/>
          <w:szCs w:val="19"/>
        </w:rPr>
        <w:t>. Il faudra 40 ans pour assurer l’égalité entre</w:t>
      </w:r>
      <w:r w:rsidR="00C04CD5" w:rsidRPr="00C04CD5">
        <w:rPr>
          <w:rFonts w:ascii="Helvetica" w:hAnsi="Helvetica" w:cs="Helvetica"/>
          <w:sz w:val="19"/>
          <w:szCs w:val="19"/>
        </w:rPr>
        <w:t xml:space="preserve"> </w:t>
      </w:r>
      <w:r w:rsidRPr="00C04CD5">
        <w:rPr>
          <w:rFonts w:ascii="Helvetica" w:hAnsi="Helvetica" w:cs="Helvetica"/>
          <w:sz w:val="19"/>
          <w:szCs w:val="19"/>
        </w:rPr>
        <w:t>la TVA déduite et la TVA collectée ! La SCI pourra faire fructifier ce décalage de</w:t>
      </w:r>
      <w:r w:rsidR="00C04CD5" w:rsidRPr="00C04CD5">
        <w:rPr>
          <w:rFonts w:ascii="Helvetica" w:hAnsi="Helvetica" w:cs="Helvetica"/>
          <w:sz w:val="19"/>
          <w:szCs w:val="19"/>
        </w:rPr>
        <w:t xml:space="preserve"> </w:t>
      </w:r>
      <w:r w:rsidRPr="00C04CD5">
        <w:rPr>
          <w:rFonts w:ascii="Helvetica" w:hAnsi="Helvetica" w:cs="Helvetica"/>
          <w:sz w:val="19"/>
          <w:szCs w:val="19"/>
        </w:rPr>
        <w:t>trésorerie.</w:t>
      </w:r>
    </w:p>
    <w:p w:rsidR="00A03529" w:rsidRPr="00C04CD5" w:rsidRDefault="003B7739" w:rsidP="00C04CD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9"/>
          <w:szCs w:val="19"/>
        </w:rPr>
      </w:pPr>
      <w:r w:rsidRPr="00C04CD5">
        <w:rPr>
          <w:rFonts w:ascii="Helvetica" w:hAnsi="Helvetica" w:cs="Helvetica"/>
          <w:sz w:val="19"/>
          <w:szCs w:val="19"/>
        </w:rPr>
        <w:t>Au bout de 20 ans de location, la SCI peut cesser de soumettre ses loyers à la</w:t>
      </w:r>
      <w:r w:rsidR="00C04CD5" w:rsidRPr="00C04CD5">
        <w:rPr>
          <w:rFonts w:ascii="Helvetica" w:hAnsi="Helvetica" w:cs="Helvetica"/>
          <w:sz w:val="19"/>
          <w:szCs w:val="19"/>
        </w:rPr>
        <w:t xml:space="preserve"> </w:t>
      </w:r>
      <w:r w:rsidRPr="00C04CD5">
        <w:rPr>
          <w:rFonts w:ascii="Helvetica" w:hAnsi="Helvetica" w:cs="Helvetica"/>
          <w:sz w:val="19"/>
          <w:szCs w:val="19"/>
        </w:rPr>
        <w:t xml:space="preserve">TVA (l’option pour la TVA est faite pour une période de </w:t>
      </w:r>
      <w:r w:rsidRPr="00C04CD5">
        <w:rPr>
          <w:rFonts w:ascii="Helvetica" w:hAnsi="Helvetica" w:cs="Helvetica"/>
          <w:color w:val="1F497D" w:themeColor="text2"/>
          <w:sz w:val="19"/>
          <w:szCs w:val="19"/>
          <w:highlight w:val="yellow"/>
        </w:rPr>
        <w:t>20 ans</w:t>
      </w:r>
      <w:r w:rsidRPr="00C04CD5">
        <w:rPr>
          <w:rFonts w:ascii="Helvetica" w:hAnsi="Helvetica" w:cs="Helvetica"/>
          <w:sz w:val="19"/>
          <w:szCs w:val="19"/>
        </w:rPr>
        <w:t>). La TVA sur</w:t>
      </w:r>
      <w:r w:rsidR="00C04CD5" w:rsidRPr="00C04CD5">
        <w:rPr>
          <w:rFonts w:ascii="Helvetica" w:hAnsi="Helvetica" w:cs="Helvetica"/>
          <w:sz w:val="19"/>
          <w:szCs w:val="19"/>
        </w:rPr>
        <w:t xml:space="preserve"> </w:t>
      </w:r>
      <w:r w:rsidRPr="00C04CD5">
        <w:rPr>
          <w:rFonts w:ascii="Helvetica" w:hAnsi="Helvetica" w:cs="Helvetica"/>
          <w:sz w:val="19"/>
          <w:szCs w:val="19"/>
        </w:rPr>
        <w:t>l’acquisition ne peut pas être remise en cause car le délai de reversement de la</w:t>
      </w:r>
      <w:r w:rsidR="00C04CD5" w:rsidRPr="00C04CD5">
        <w:rPr>
          <w:rFonts w:ascii="Helvetica" w:hAnsi="Helvetica" w:cs="Helvetica"/>
          <w:sz w:val="19"/>
          <w:szCs w:val="19"/>
        </w:rPr>
        <w:t xml:space="preserve"> </w:t>
      </w:r>
      <w:r w:rsidRPr="00C04CD5">
        <w:rPr>
          <w:rFonts w:ascii="Helvetica" w:hAnsi="Helvetica" w:cs="Helvetica"/>
          <w:sz w:val="19"/>
          <w:szCs w:val="19"/>
        </w:rPr>
        <w:t>TVA initialement déduite sur l’acquisition est expiré. Il en résulte un gain net de</w:t>
      </w:r>
      <w:r w:rsidR="00C04CD5" w:rsidRPr="00C04CD5">
        <w:rPr>
          <w:rFonts w:ascii="Helvetica" w:hAnsi="Helvetica" w:cs="Helvetica"/>
          <w:sz w:val="19"/>
          <w:szCs w:val="19"/>
        </w:rPr>
        <w:t xml:space="preserve"> </w:t>
      </w:r>
      <w:r w:rsidRPr="00C04CD5">
        <w:rPr>
          <w:rFonts w:ascii="Helvetica" w:hAnsi="Helvetica" w:cs="Helvetica"/>
          <w:sz w:val="19"/>
          <w:szCs w:val="19"/>
        </w:rPr>
        <w:t xml:space="preserve">trésorerie de 10 000 </w:t>
      </w:r>
      <w:r w:rsidRPr="00C04CD5">
        <w:rPr>
          <w:rFonts w:ascii="EuroSans-Regular" w:hAnsi="EuroSans-Regular" w:cs="EuroSans-Regular"/>
          <w:sz w:val="19"/>
          <w:szCs w:val="19"/>
        </w:rPr>
        <w:t>€</w:t>
      </w:r>
      <w:r w:rsidRPr="00C04CD5">
        <w:rPr>
          <w:rFonts w:ascii="Helvetica" w:hAnsi="Helvetica" w:cs="Helvetica"/>
          <w:sz w:val="19"/>
          <w:szCs w:val="19"/>
        </w:rPr>
        <w:t>.</w:t>
      </w:r>
    </w:p>
    <w:p w:rsidR="0089053F" w:rsidRDefault="0089053F" w:rsidP="003B7739">
      <w:pPr>
        <w:spacing w:after="0" w:line="240" w:lineRule="auto"/>
        <w:rPr>
          <w:rFonts w:ascii="Helvetica" w:hAnsi="Helvetica" w:cs="Helvetica"/>
          <w:sz w:val="19"/>
          <w:szCs w:val="19"/>
        </w:rPr>
      </w:pPr>
    </w:p>
    <w:p w:rsidR="0089053F" w:rsidRPr="00DF14B2" w:rsidRDefault="0089053F" w:rsidP="00DF14B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F14B2">
        <w:rPr>
          <w:rFonts w:ascii="Arial" w:hAnsi="Arial" w:cs="Arial"/>
          <w:b/>
          <w:sz w:val="20"/>
          <w:szCs w:val="20"/>
        </w:rPr>
        <w:t>Page 312</w:t>
      </w:r>
    </w:p>
    <w:p w:rsidR="0089053F" w:rsidRDefault="0089053F" w:rsidP="00DF14B2">
      <w:p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</w:rPr>
      </w:pPr>
      <w:r w:rsidRPr="00DF14B2">
        <w:rPr>
          <w:rFonts w:ascii="Times-Roman" w:hAnsi="Times-Roman" w:cs="Times-Roman"/>
          <w:color w:val="auto"/>
        </w:rPr>
        <w:t>Le taux réduit de</w:t>
      </w:r>
      <w:r w:rsidRPr="00DF14B2">
        <w:rPr>
          <w:rFonts w:ascii="Times-Roman" w:hAnsi="Times-Roman" w:cs="Times-Roman"/>
          <w:color w:val="1F497D" w:themeColor="text2"/>
        </w:rPr>
        <w:t xml:space="preserve"> </w:t>
      </w:r>
      <w:r w:rsidRPr="00DF14B2">
        <w:rPr>
          <w:rFonts w:ascii="Times-Roman" w:hAnsi="Times-Roman" w:cs="Times-Roman"/>
          <w:color w:val="1F497D" w:themeColor="text2"/>
          <w:highlight w:val="yellow"/>
        </w:rPr>
        <w:t>10 %</w:t>
      </w:r>
      <w:r w:rsidRPr="00DF14B2">
        <w:rPr>
          <w:rFonts w:ascii="Times-Roman" w:hAnsi="Times-Roman" w:cs="Times-Roman"/>
        </w:rPr>
        <w:t xml:space="preserve"> s’applique si l’objet principal est la fourniture</w:t>
      </w:r>
      <w:r w:rsidR="00DF14B2" w:rsidRPr="00DF14B2">
        <w:rPr>
          <w:rFonts w:ascii="Times-Roman" w:hAnsi="Times-Roman" w:cs="Times-Roman"/>
        </w:rPr>
        <w:t xml:space="preserve"> </w:t>
      </w:r>
      <w:r w:rsidRPr="00DF14B2">
        <w:rPr>
          <w:rFonts w:ascii="Times-Roman" w:hAnsi="Times-Roman" w:cs="Times-Roman"/>
        </w:rPr>
        <w:t>de logement.</w:t>
      </w:r>
    </w:p>
    <w:p w:rsidR="00DF14B2" w:rsidRDefault="00DF14B2" w:rsidP="00DF14B2">
      <w:pPr>
        <w:spacing w:after="0" w:line="240" w:lineRule="auto"/>
        <w:rPr>
          <w:rFonts w:ascii="Arial" w:hAnsi="Arial" w:cs="Arial"/>
          <w:b/>
          <w:sz w:val="20"/>
          <w:szCs w:val="20"/>
          <w:highlight w:val="yellow"/>
        </w:rPr>
      </w:pPr>
    </w:p>
    <w:p w:rsidR="006071DF" w:rsidRPr="00DF14B2" w:rsidRDefault="006071DF" w:rsidP="00DF14B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F14B2">
        <w:rPr>
          <w:rFonts w:ascii="Arial" w:hAnsi="Arial" w:cs="Arial"/>
          <w:b/>
          <w:sz w:val="20"/>
          <w:szCs w:val="20"/>
        </w:rPr>
        <w:t>Page 314</w:t>
      </w:r>
    </w:p>
    <w:p w:rsidR="006071DF" w:rsidRPr="00DF14B2" w:rsidRDefault="006071DF" w:rsidP="00DF14B2">
      <w:p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</w:rPr>
      </w:pPr>
      <w:r w:rsidRPr="00DF14B2">
        <w:rPr>
          <w:rFonts w:ascii="Times-Roman" w:hAnsi="Times-Roman" w:cs="Times-Roman"/>
        </w:rPr>
        <w:t xml:space="preserve">La SARL d’exploitation est créée </w:t>
      </w:r>
      <w:r w:rsidRPr="00DF14B2">
        <w:rPr>
          <w:rFonts w:ascii="Times-Italic" w:hAnsi="Times-Italic" w:cs="Times-Italic"/>
          <w:i/>
          <w:iCs/>
        </w:rPr>
        <w:t>ex-nihilo</w:t>
      </w:r>
      <w:r w:rsidRPr="00DF14B2">
        <w:rPr>
          <w:rFonts w:ascii="Times-Roman" w:hAnsi="Times-Roman" w:cs="Times-Roman"/>
        </w:rPr>
        <w:t>. Cela sécurise le montage</w:t>
      </w:r>
    </w:p>
    <w:p w:rsidR="006071DF" w:rsidRPr="00DF14B2" w:rsidRDefault="006071DF" w:rsidP="00DF14B2">
      <w:p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</w:rPr>
      </w:pPr>
      <w:proofErr w:type="gramStart"/>
      <w:r w:rsidRPr="00DF14B2">
        <w:rPr>
          <w:rFonts w:ascii="Times-Roman" w:hAnsi="Times-Roman" w:cs="Times-Roman"/>
        </w:rPr>
        <w:t>sur</w:t>
      </w:r>
      <w:proofErr w:type="gramEnd"/>
      <w:r w:rsidRPr="00DF14B2">
        <w:rPr>
          <w:rFonts w:ascii="Times-Roman" w:hAnsi="Times-Roman" w:cs="Times-Roman"/>
        </w:rPr>
        <w:t xml:space="preserve"> le plan fiscal car selon la doctrine administrative, le taux réduit de</w:t>
      </w:r>
    </w:p>
    <w:p w:rsidR="006071DF" w:rsidRPr="00DF14B2" w:rsidRDefault="006071DF" w:rsidP="006071DF">
      <w:p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</w:rPr>
      </w:pPr>
      <w:r w:rsidRPr="00DF14B2">
        <w:rPr>
          <w:rFonts w:ascii="Times-Roman" w:hAnsi="Times-Roman" w:cs="Times-Roman"/>
          <w:color w:val="1F497D" w:themeColor="text2"/>
          <w:highlight w:val="yellow"/>
        </w:rPr>
        <w:t>10 %</w:t>
      </w:r>
      <w:r w:rsidRPr="00DF14B2">
        <w:rPr>
          <w:rFonts w:ascii="Times-Roman" w:hAnsi="Times-Roman" w:cs="Times-Roman"/>
        </w:rPr>
        <w:t xml:space="preserve"> sur les loyers s’applique si l’objet principal de la société</w:t>
      </w:r>
    </w:p>
    <w:p w:rsidR="006071DF" w:rsidRDefault="006071DF" w:rsidP="006071DF">
      <w:pPr>
        <w:rPr>
          <w:rFonts w:ascii="Arial" w:hAnsi="Arial" w:cs="Arial"/>
          <w:sz w:val="20"/>
          <w:szCs w:val="20"/>
        </w:rPr>
      </w:pPr>
      <w:proofErr w:type="gramStart"/>
      <w:r w:rsidRPr="00DF14B2">
        <w:rPr>
          <w:rFonts w:ascii="Times-Roman" w:hAnsi="Times-Roman" w:cs="Times-Roman"/>
        </w:rPr>
        <w:t>d’exploitation</w:t>
      </w:r>
      <w:proofErr w:type="gramEnd"/>
      <w:r w:rsidRPr="00DF14B2">
        <w:rPr>
          <w:rFonts w:ascii="Times-Roman" w:hAnsi="Times-Roman" w:cs="Times-Roman"/>
        </w:rPr>
        <w:t xml:space="preserve"> est la fourniture de logements.</w:t>
      </w:r>
    </w:p>
    <w:p w:rsidR="0089053F" w:rsidRPr="00DF14B2" w:rsidRDefault="004C3793" w:rsidP="003B7739">
      <w:pPr>
        <w:spacing w:after="0" w:line="240" w:lineRule="auto"/>
        <w:rPr>
          <w:b/>
          <w:color w:val="auto"/>
        </w:rPr>
      </w:pPr>
      <w:r w:rsidRPr="00DF14B2">
        <w:rPr>
          <w:b/>
          <w:color w:val="auto"/>
        </w:rPr>
        <w:t>Pages 328 et 329</w:t>
      </w:r>
    </w:p>
    <w:tbl>
      <w:tblPr>
        <w:tblStyle w:val="Grilledutableau"/>
        <w:tblW w:w="0" w:type="auto"/>
        <w:tblLook w:val="04A0"/>
      </w:tblPr>
      <w:tblGrid>
        <w:gridCol w:w="1951"/>
        <w:gridCol w:w="1701"/>
        <w:gridCol w:w="5560"/>
      </w:tblGrid>
      <w:tr w:rsidR="004C3793" w:rsidRPr="00DF14B2" w:rsidTr="0019781C">
        <w:tc>
          <w:tcPr>
            <w:tcW w:w="1951" w:type="dxa"/>
          </w:tcPr>
          <w:p w:rsidR="004C3793" w:rsidRPr="00DF14B2" w:rsidRDefault="004C3793" w:rsidP="003B7739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1701" w:type="dxa"/>
          </w:tcPr>
          <w:p w:rsidR="004C3793" w:rsidRPr="00DF14B2" w:rsidRDefault="004C3793" w:rsidP="004C3793">
            <w:pPr>
              <w:spacing w:after="0" w:line="240" w:lineRule="auto"/>
              <w:jc w:val="center"/>
              <w:rPr>
                <w:color w:val="auto"/>
              </w:rPr>
            </w:pPr>
            <w:r w:rsidRPr="00DF14B2">
              <w:rPr>
                <w:color w:val="auto"/>
              </w:rPr>
              <w:t>Pour l’IR</w:t>
            </w:r>
          </w:p>
        </w:tc>
        <w:tc>
          <w:tcPr>
            <w:tcW w:w="5560" w:type="dxa"/>
          </w:tcPr>
          <w:p w:rsidR="004C3793" w:rsidRPr="00DF14B2" w:rsidRDefault="004C3793" w:rsidP="004C3793">
            <w:pPr>
              <w:spacing w:after="0" w:line="240" w:lineRule="auto"/>
              <w:jc w:val="center"/>
              <w:rPr>
                <w:color w:val="auto"/>
              </w:rPr>
            </w:pPr>
            <w:r w:rsidRPr="00DF14B2">
              <w:rPr>
                <w:color w:val="auto"/>
              </w:rPr>
              <w:t>Pour l’IS</w:t>
            </w:r>
          </w:p>
        </w:tc>
      </w:tr>
      <w:tr w:rsidR="004C3793" w:rsidRPr="00DF14B2" w:rsidTr="0019781C">
        <w:tc>
          <w:tcPr>
            <w:tcW w:w="1951" w:type="dxa"/>
          </w:tcPr>
          <w:p w:rsidR="004C3793" w:rsidRPr="00DF14B2" w:rsidRDefault="004C3793" w:rsidP="003B7739">
            <w:pPr>
              <w:spacing w:after="0" w:line="240" w:lineRule="auto"/>
              <w:rPr>
                <w:color w:val="auto"/>
              </w:rPr>
            </w:pPr>
            <w:r w:rsidRPr="00DF14B2">
              <w:rPr>
                <w:color w:val="auto"/>
              </w:rPr>
              <w:t>Taux d’impôt</w:t>
            </w:r>
          </w:p>
        </w:tc>
        <w:tc>
          <w:tcPr>
            <w:tcW w:w="1701" w:type="dxa"/>
          </w:tcPr>
          <w:p w:rsidR="004C3793" w:rsidRPr="00DF14B2" w:rsidRDefault="00DF14B2" w:rsidP="00DF14B2">
            <w:pPr>
              <w:spacing w:after="0"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Le taux marginal est très élevé…</w:t>
            </w:r>
          </w:p>
        </w:tc>
        <w:tc>
          <w:tcPr>
            <w:tcW w:w="5560" w:type="dxa"/>
          </w:tcPr>
          <w:p w:rsidR="004C3793" w:rsidRPr="00DF14B2" w:rsidRDefault="004C3793" w:rsidP="003B7739">
            <w:pPr>
              <w:spacing w:after="0" w:line="240" w:lineRule="auto"/>
              <w:rPr>
                <w:color w:val="1F497D" w:themeColor="text2"/>
                <w:highlight w:val="yellow"/>
              </w:rPr>
            </w:pPr>
            <w:r w:rsidRPr="00DF14B2">
              <w:rPr>
                <w:color w:val="1F497D" w:themeColor="text2"/>
                <w:highlight w:val="yellow"/>
              </w:rPr>
              <w:t>… alors que le taux de l’IS de 15 % est faible.</w:t>
            </w:r>
          </w:p>
        </w:tc>
      </w:tr>
      <w:tr w:rsidR="004C3793" w:rsidTr="0019781C">
        <w:tc>
          <w:tcPr>
            <w:tcW w:w="1951" w:type="dxa"/>
          </w:tcPr>
          <w:p w:rsidR="004C3793" w:rsidRPr="00DF14B2" w:rsidRDefault="004C3793" w:rsidP="003B7739">
            <w:pPr>
              <w:spacing w:after="0" w:line="240" w:lineRule="auto"/>
              <w:rPr>
                <w:color w:val="auto"/>
              </w:rPr>
            </w:pPr>
            <w:r w:rsidRPr="00DF14B2">
              <w:rPr>
                <w:color w:val="auto"/>
              </w:rPr>
              <w:t>Dividendes</w:t>
            </w:r>
          </w:p>
        </w:tc>
        <w:tc>
          <w:tcPr>
            <w:tcW w:w="1701" w:type="dxa"/>
          </w:tcPr>
          <w:p w:rsidR="004C3793" w:rsidRPr="00DF14B2" w:rsidRDefault="00DF14B2" w:rsidP="00DF14B2">
            <w:pPr>
              <w:spacing w:after="0" w:line="24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Ils ne sont pas imposables…</w:t>
            </w:r>
          </w:p>
        </w:tc>
        <w:tc>
          <w:tcPr>
            <w:tcW w:w="5560" w:type="dxa"/>
          </w:tcPr>
          <w:p w:rsidR="004C3793" w:rsidRPr="00DF14B2" w:rsidRDefault="004C3793" w:rsidP="004C379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Helvetica-Condensed" w:hAnsi="Helvetica-Condensed" w:cs="Helvetica-Condensed"/>
                <w:color w:val="1F497D" w:themeColor="text2"/>
                <w:sz w:val="18"/>
                <w:szCs w:val="18"/>
                <w:highlight w:val="yellow"/>
              </w:rPr>
            </w:pPr>
            <w:r w:rsidRPr="00DF14B2">
              <w:rPr>
                <w:rFonts w:ascii="Helvetica-Condensed" w:hAnsi="Helvetica-Condensed" w:cs="Helvetica-Condensed"/>
                <w:color w:val="1F497D" w:themeColor="text2"/>
                <w:sz w:val="18"/>
                <w:szCs w:val="18"/>
                <w:highlight w:val="yellow"/>
              </w:rPr>
              <w:t>... alors qu’ils sont soumis au taux marginal d’impôt sur le revenu qui peut atteindre 45 %. L’abattement</w:t>
            </w:r>
          </w:p>
          <w:p w:rsidR="004C3793" w:rsidRPr="00DF14B2" w:rsidRDefault="004C3793" w:rsidP="004C379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Helvetica-Condensed" w:hAnsi="Helvetica-Condensed" w:cs="Helvetica-Condensed"/>
                <w:color w:val="1F497D" w:themeColor="text2"/>
                <w:sz w:val="18"/>
                <w:szCs w:val="18"/>
                <w:highlight w:val="yellow"/>
              </w:rPr>
            </w:pPr>
            <w:r w:rsidRPr="00DF14B2">
              <w:rPr>
                <w:rFonts w:ascii="Helvetica-Condensed" w:hAnsi="Helvetica-Condensed" w:cs="Helvetica-Condensed"/>
                <w:color w:val="1F497D" w:themeColor="text2"/>
                <w:sz w:val="18"/>
                <w:szCs w:val="18"/>
                <w:highlight w:val="yellow"/>
              </w:rPr>
              <w:t>de 40 % n’élimine pas la double imposition. De plus, ils subissent les prélèvements sociaux au taux</w:t>
            </w:r>
          </w:p>
          <w:p w:rsidR="004C3793" w:rsidRPr="00DF14B2" w:rsidRDefault="004C3793" w:rsidP="004C3793">
            <w:pPr>
              <w:rPr>
                <w:rFonts w:ascii="Helvetica-Condensed" w:hAnsi="Helvetica-Condensed" w:cs="Helvetica-Condensed"/>
                <w:color w:val="1F497D" w:themeColor="text2"/>
                <w:sz w:val="18"/>
                <w:szCs w:val="18"/>
                <w:highlight w:val="yellow"/>
              </w:rPr>
            </w:pPr>
            <w:r w:rsidRPr="00DF14B2">
              <w:rPr>
                <w:rFonts w:ascii="Helvetica-Condensed" w:hAnsi="Helvetica-Condensed" w:cs="Helvetica-Condensed"/>
                <w:color w:val="1F497D" w:themeColor="text2"/>
                <w:sz w:val="18"/>
                <w:szCs w:val="18"/>
                <w:highlight w:val="yellow"/>
              </w:rPr>
              <w:t>de 15,5 % calculés sur le dividende avant abattement.</w:t>
            </w:r>
          </w:p>
        </w:tc>
      </w:tr>
    </w:tbl>
    <w:p w:rsidR="004C3793" w:rsidRDefault="004C3793" w:rsidP="003B7739">
      <w:pPr>
        <w:spacing w:after="0" w:line="240" w:lineRule="auto"/>
        <w:rPr>
          <w:color w:val="auto"/>
        </w:rPr>
      </w:pPr>
    </w:p>
    <w:p w:rsidR="00246036" w:rsidRPr="00DF14B2" w:rsidRDefault="00246036" w:rsidP="003B7739">
      <w:pPr>
        <w:spacing w:after="0" w:line="240" w:lineRule="auto"/>
        <w:rPr>
          <w:b/>
          <w:color w:val="auto"/>
        </w:rPr>
      </w:pPr>
      <w:r w:rsidRPr="00DF14B2">
        <w:rPr>
          <w:b/>
          <w:color w:val="auto"/>
        </w:rPr>
        <w:t>Page 331</w:t>
      </w:r>
    </w:p>
    <w:p w:rsidR="00246036" w:rsidRPr="00DF14B2" w:rsidRDefault="00246036" w:rsidP="003B7739">
      <w:pPr>
        <w:spacing w:after="0" w:line="240" w:lineRule="auto"/>
        <w:rPr>
          <w:rFonts w:ascii="GillSans-LightItalic" w:hAnsi="GillSans-LightItalic" w:cs="GillSans-LightItalic"/>
          <w:i/>
          <w:iCs/>
          <w:sz w:val="18"/>
          <w:szCs w:val="18"/>
        </w:rPr>
      </w:pPr>
      <w:r w:rsidRPr="00DF14B2">
        <w:rPr>
          <w:rFonts w:ascii="GillSans-LightItalic" w:hAnsi="GillSans-LightItalic" w:cs="GillSans-LightItalic"/>
          <w:i/>
          <w:iCs/>
          <w:sz w:val="18"/>
          <w:szCs w:val="18"/>
        </w:rPr>
        <w:t>(</w:t>
      </w:r>
      <w:proofErr w:type="gramStart"/>
      <w:r w:rsidRPr="00DF14B2">
        <w:rPr>
          <w:rFonts w:ascii="GillSans-LightItalic" w:hAnsi="GillSans-LightItalic" w:cs="GillSans-LightItalic"/>
          <w:i/>
          <w:iCs/>
          <w:sz w:val="18"/>
          <w:szCs w:val="18"/>
        </w:rPr>
        <w:t>exonération</w:t>
      </w:r>
      <w:proofErr w:type="gramEnd"/>
      <w:r w:rsidRPr="00DF14B2">
        <w:rPr>
          <w:rFonts w:ascii="GillSans-LightItalic" w:hAnsi="GillSans-LightItalic" w:cs="GillSans-LightItalic"/>
          <w:i/>
          <w:iCs/>
          <w:sz w:val="18"/>
          <w:szCs w:val="18"/>
        </w:rPr>
        <w:t xml:space="preserve"> les </w:t>
      </w:r>
      <w:r w:rsidRPr="00DF14B2">
        <w:rPr>
          <w:rFonts w:ascii="GillSans-LightItalic" w:hAnsi="GillSans-LightItalic" w:cs="GillSans-LightItalic"/>
          <w:i/>
          <w:iCs/>
          <w:color w:val="1F497D" w:themeColor="text2"/>
          <w:sz w:val="18"/>
          <w:szCs w:val="18"/>
          <w:highlight w:val="yellow"/>
        </w:rPr>
        <w:t>2 premières</w:t>
      </w:r>
      <w:r w:rsidRPr="00DF14B2">
        <w:rPr>
          <w:rFonts w:ascii="GillSans-LightItalic" w:hAnsi="GillSans-LightItalic" w:cs="GillSans-LightItalic"/>
          <w:i/>
          <w:iCs/>
          <w:sz w:val="13"/>
          <w:szCs w:val="13"/>
        </w:rPr>
        <w:t xml:space="preserve"> </w:t>
      </w:r>
      <w:r w:rsidRPr="00DF14B2">
        <w:rPr>
          <w:rFonts w:ascii="GillSans-LightItalic" w:hAnsi="GillSans-LightItalic" w:cs="GillSans-LightItalic"/>
          <w:i/>
          <w:iCs/>
          <w:sz w:val="18"/>
          <w:szCs w:val="18"/>
        </w:rPr>
        <w:t>années)</w:t>
      </w:r>
    </w:p>
    <w:p w:rsidR="00246036" w:rsidRPr="003D6199" w:rsidRDefault="00246036" w:rsidP="003B7739">
      <w:pPr>
        <w:spacing w:after="0" w:line="240" w:lineRule="auto"/>
        <w:rPr>
          <w:rFonts w:ascii="GillSans-LightItalic" w:hAnsi="GillSans-LightItalic" w:cs="GillSans-LightItalic"/>
          <w:i/>
          <w:iCs/>
          <w:sz w:val="18"/>
          <w:szCs w:val="18"/>
          <w:highlight w:val="yellow"/>
        </w:rPr>
      </w:pPr>
    </w:p>
    <w:p w:rsidR="00246036" w:rsidRPr="00DF14B2" w:rsidRDefault="00246036" w:rsidP="003B7739">
      <w:pPr>
        <w:spacing w:after="0" w:line="240" w:lineRule="auto"/>
        <w:rPr>
          <w:rFonts w:ascii="GillSans-LightItalic" w:hAnsi="GillSans-LightItalic" w:cs="GillSans-LightItalic"/>
          <w:b/>
          <w:iCs/>
          <w:sz w:val="18"/>
          <w:szCs w:val="18"/>
        </w:rPr>
      </w:pPr>
      <w:r w:rsidRPr="00DF14B2">
        <w:rPr>
          <w:rFonts w:ascii="GillSans-LightItalic" w:hAnsi="GillSans-LightItalic" w:cs="GillSans-LightItalic"/>
          <w:b/>
          <w:iCs/>
          <w:sz w:val="18"/>
          <w:szCs w:val="18"/>
        </w:rPr>
        <w:t>Page 332</w:t>
      </w:r>
    </w:p>
    <w:p w:rsidR="00246036" w:rsidRPr="00DF14B2" w:rsidRDefault="004E69A3" w:rsidP="003B7739">
      <w:pPr>
        <w:spacing w:after="0" w:line="240" w:lineRule="auto"/>
        <w:rPr>
          <w:rFonts w:ascii="GillSans-LightItalic" w:hAnsi="GillSans-LightItalic" w:cs="GillSans-LightItalic"/>
          <w:iCs/>
          <w:sz w:val="18"/>
          <w:szCs w:val="18"/>
        </w:rPr>
      </w:pPr>
      <w:r w:rsidRPr="00DF14B2">
        <w:rPr>
          <w:rFonts w:ascii="GillSans-LightItalic" w:hAnsi="GillSans-LightItalic" w:cs="GillSans-LightItalic"/>
          <w:iCs/>
          <w:sz w:val="18"/>
          <w:szCs w:val="18"/>
        </w:rPr>
        <w:t>Dans le tableau «Plan de financement… »</w:t>
      </w:r>
      <w:r w:rsidR="00246036" w:rsidRPr="00DF14B2">
        <w:rPr>
          <w:rFonts w:ascii="GillSans-LightItalic" w:hAnsi="GillSans-LightItalic" w:cs="GillSans-LightItalic"/>
          <w:iCs/>
          <w:sz w:val="18"/>
          <w:szCs w:val="18"/>
        </w:rPr>
        <w:t xml:space="preserve"> </w:t>
      </w:r>
    </w:p>
    <w:p w:rsidR="00246036" w:rsidRPr="00DF14B2" w:rsidRDefault="00246036" w:rsidP="003B7739">
      <w:pPr>
        <w:spacing w:after="0" w:line="240" w:lineRule="auto"/>
        <w:rPr>
          <w:rFonts w:ascii="GillSans-LightItalic" w:hAnsi="GillSans-LightItalic" w:cs="GillSans-LightItalic"/>
          <w:iCs/>
          <w:color w:val="1F497D" w:themeColor="text2"/>
          <w:sz w:val="18"/>
          <w:szCs w:val="18"/>
        </w:rPr>
      </w:pPr>
      <w:proofErr w:type="gramStart"/>
      <w:r w:rsidRPr="00DF14B2">
        <w:rPr>
          <w:rFonts w:ascii="GillSans-LightItalic" w:hAnsi="GillSans-LightItalic" w:cs="GillSans-LightItalic"/>
          <w:iCs/>
          <w:sz w:val="18"/>
          <w:szCs w:val="18"/>
        </w:rPr>
        <w:t>colonne</w:t>
      </w:r>
      <w:proofErr w:type="gramEnd"/>
      <w:r w:rsidRPr="00DF14B2">
        <w:rPr>
          <w:rFonts w:ascii="GillSans-LightItalic" w:hAnsi="GillSans-LightItalic" w:cs="GillSans-LightItalic"/>
          <w:iCs/>
          <w:sz w:val="18"/>
          <w:szCs w:val="18"/>
        </w:rPr>
        <w:t xml:space="preserve"> « 1 », ligne « emprunt », mettre : </w:t>
      </w:r>
      <w:r w:rsidRPr="00DF14B2">
        <w:rPr>
          <w:rFonts w:ascii="GillSans-LightItalic" w:hAnsi="GillSans-LightItalic" w:cs="GillSans-LightItalic"/>
          <w:iCs/>
          <w:color w:val="1F497D" w:themeColor="text2"/>
          <w:sz w:val="18"/>
          <w:szCs w:val="18"/>
          <w:highlight w:val="yellow"/>
        </w:rPr>
        <w:t>- 17 672</w:t>
      </w:r>
    </w:p>
    <w:p w:rsidR="00246036" w:rsidRPr="00DF14B2" w:rsidRDefault="00246036" w:rsidP="00246036">
      <w:pPr>
        <w:spacing w:after="0" w:line="240" w:lineRule="auto"/>
        <w:rPr>
          <w:rFonts w:ascii="GillSans-LightItalic" w:hAnsi="GillSans-LightItalic" w:cs="GillSans-LightItalic"/>
          <w:iCs/>
          <w:color w:val="1F497D" w:themeColor="text2"/>
          <w:sz w:val="18"/>
          <w:szCs w:val="18"/>
        </w:rPr>
      </w:pPr>
      <w:proofErr w:type="gramStart"/>
      <w:r w:rsidRPr="00DF14B2">
        <w:rPr>
          <w:rFonts w:ascii="GillSans-LightItalic" w:hAnsi="GillSans-LightItalic" w:cs="GillSans-LightItalic"/>
          <w:iCs/>
          <w:sz w:val="18"/>
          <w:szCs w:val="18"/>
        </w:rPr>
        <w:t>colonne</w:t>
      </w:r>
      <w:proofErr w:type="gramEnd"/>
      <w:r w:rsidRPr="00DF14B2">
        <w:rPr>
          <w:rFonts w:ascii="GillSans-LightItalic" w:hAnsi="GillSans-LightItalic" w:cs="GillSans-LightItalic"/>
          <w:iCs/>
          <w:sz w:val="18"/>
          <w:szCs w:val="18"/>
        </w:rPr>
        <w:t xml:space="preserve"> « 1 », ligne « trésorerie annuelle », mettre : </w:t>
      </w:r>
      <w:r w:rsidRPr="00DF14B2">
        <w:rPr>
          <w:rFonts w:ascii="GillSans-LightItalic" w:hAnsi="GillSans-LightItalic" w:cs="GillSans-LightItalic"/>
          <w:iCs/>
          <w:color w:val="1F497D" w:themeColor="text2"/>
          <w:sz w:val="18"/>
          <w:szCs w:val="18"/>
          <w:highlight w:val="yellow"/>
        </w:rPr>
        <w:t>- 10 442</w:t>
      </w:r>
    </w:p>
    <w:p w:rsidR="00246036" w:rsidRPr="00DF14B2" w:rsidRDefault="00246036" w:rsidP="003B7739">
      <w:pPr>
        <w:spacing w:after="0" w:line="240" w:lineRule="auto"/>
        <w:rPr>
          <w:rFonts w:ascii="GillSans-LightItalic" w:hAnsi="GillSans-LightItalic" w:cs="GillSans-LightItalic"/>
          <w:iCs/>
          <w:sz w:val="18"/>
          <w:szCs w:val="18"/>
        </w:rPr>
      </w:pPr>
    </w:p>
    <w:p w:rsidR="004E69A3" w:rsidRPr="00DF14B2" w:rsidRDefault="004E69A3" w:rsidP="004E69A3">
      <w:pPr>
        <w:spacing w:after="0" w:line="240" w:lineRule="auto"/>
        <w:rPr>
          <w:rFonts w:ascii="GillSans-LightItalic" w:hAnsi="GillSans-LightItalic" w:cs="GillSans-LightItalic"/>
          <w:iCs/>
          <w:sz w:val="18"/>
          <w:szCs w:val="18"/>
        </w:rPr>
      </w:pPr>
      <w:r w:rsidRPr="00DF14B2">
        <w:rPr>
          <w:rFonts w:ascii="GillSans-LightItalic" w:hAnsi="GillSans-LightItalic" w:cs="GillSans-LightItalic"/>
          <w:iCs/>
          <w:sz w:val="18"/>
          <w:szCs w:val="18"/>
        </w:rPr>
        <w:t xml:space="preserve">Dans le tableau «Taux de rentabilité… » </w:t>
      </w:r>
    </w:p>
    <w:p w:rsidR="004E69A3" w:rsidRPr="00DF14B2" w:rsidRDefault="004E69A3" w:rsidP="004E69A3">
      <w:pPr>
        <w:spacing w:after="0" w:line="240" w:lineRule="auto"/>
        <w:rPr>
          <w:rFonts w:ascii="GillSans-LightItalic" w:hAnsi="GillSans-LightItalic" w:cs="GillSans-LightItalic"/>
          <w:iCs/>
          <w:color w:val="1F497D" w:themeColor="text2"/>
          <w:sz w:val="18"/>
          <w:szCs w:val="18"/>
        </w:rPr>
      </w:pPr>
      <w:proofErr w:type="gramStart"/>
      <w:r w:rsidRPr="00DF14B2">
        <w:rPr>
          <w:rFonts w:ascii="GillSans-LightItalic" w:hAnsi="GillSans-LightItalic" w:cs="GillSans-LightItalic"/>
          <w:iCs/>
          <w:sz w:val="18"/>
          <w:szCs w:val="18"/>
        </w:rPr>
        <w:t>colonne</w:t>
      </w:r>
      <w:proofErr w:type="gramEnd"/>
      <w:r w:rsidRPr="00DF14B2">
        <w:rPr>
          <w:rFonts w:ascii="GillSans-LightItalic" w:hAnsi="GillSans-LightItalic" w:cs="GillSans-LightItalic"/>
          <w:iCs/>
          <w:sz w:val="18"/>
          <w:szCs w:val="18"/>
        </w:rPr>
        <w:t xml:space="preserve"> « 15 », ligne « valeur du bien TTC», mettre : </w:t>
      </w:r>
      <w:r w:rsidRPr="00DF14B2">
        <w:rPr>
          <w:rFonts w:ascii="GillSans-LightItalic" w:hAnsi="GillSans-LightItalic" w:cs="GillSans-LightItalic"/>
          <w:iCs/>
          <w:color w:val="1F497D" w:themeColor="text2"/>
          <w:sz w:val="18"/>
          <w:szCs w:val="18"/>
          <w:highlight w:val="yellow"/>
        </w:rPr>
        <w:t>200 000</w:t>
      </w:r>
    </w:p>
    <w:p w:rsidR="004E69A3" w:rsidRPr="00DF14B2" w:rsidRDefault="004E69A3" w:rsidP="004E69A3">
      <w:pPr>
        <w:spacing w:after="0" w:line="240" w:lineRule="auto"/>
        <w:rPr>
          <w:rFonts w:ascii="GillSans-LightItalic" w:hAnsi="GillSans-LightItalic" w:cs="GillSans-LightItalic"/>
          <w:iCs/>
          <w:color w:val="1F497D" w:themeColor="text2"/>
          <w:sz w:val="18"/>
          <w:szCs w:val="18"/>
        </w:rPr>
      </w:pPr>
      <w:proofErr w:type="gramStart"/>
      <w:r w:rsidRPr="00DF14B2">
        <w:rPr>
          <w:rFonts w:ascii="GillSans-LightItalic" w:hAnsi="GillSans-LightItalic" w:cs="GillSans-LightItalic"/>
          <w:iCs/>
          <w:sz w:val="18"/>
          <w:szCs w:val="18"/>
        </w:rPr>
        <w:t>colonne</w:t>
      </w:r>
      <w:proofErr w:type="gramEnd"/>
      <w:r w:rsidRPr="00DF14B2">
        <w:rPr>
          <w:rFonts w:ascii="GillSans-LightItalic" w:hAnsi="GillSans-LightItalic" w:cs="GillSans-LightItalic"/>
          <w:iCs/>
          <w:sz w:val="18"/>
          <w:szCs w:val="18"/>
        </w:rPr>
        <w:t xml:space="preserve"> « 15 », </w:t>
      </w:r>
      <w:r w:rsidR="000400F0" w:rsidRPr="00DF14B2">
        <w:rPr>
          <w:rFonts w:ascii="GillSans-LightItalic" w:hAnsi="GillSans-LightItalic" w:cs="GillSans-LightItalic"/>
          <w:iCs/>
          <w:sz w:val="18"/>
          <w:szCs w:val="18"/>
        </w:rPr>
        <w:t xml:space="preserve">dernière </w:t>
      </w:r>
      <w:r w:rsidRPr="00DF14B2">
        <w:rPr>
          <w:rFonts w:ascii="GillSans-LightItalic" w:hAnsi="GillSans-LightItalic" w:cs="GillSans-LightItalic"/>
          <w:iCs/>
          <w:sz w:val="18"/>
          <w:szCs w:val="18"/>
        </w:rPr>
        <w:t>ligne</w:t>
      </w:r>
      <w:r w:rsidR="000400F0" w:rsidRPr="00DF14B2">
        <w:rPr>
          <w:rFonts w:ascii="GillSans-LightItalic" w:hAnsi="GillSans-LightItalic" w:cs="GillSans-LightItalic"/>
          <w:iCs/>
          <w:sz w:val="18"/>
          <w:szCs w:val="18"/>
        </w:rPr>
        <w:t>,</w:t>
      </w:r>
      <w:r w:rsidRPr="00DF14B2">
        <w:rPr>
          <w:rFonts w:ascii="GillSans-LightItalic" w:hAnsi="GillSans-LightItalic" w:cs="GillSans-LightItalic"/>
          <w:iCs/>
          <w:sz w:val="18"/>
          <w:szCs w:val="18"/>
        </w:rPr>
        <w:t xml:space="preserve"> mettre : </w:t>
      </w:r>
      <w:r w:rsidRPr="00DF14B2">
        <w:rPr>
          <w:rFonts w:ascii="GillSans-LightItalic" w:hAnsi="GillSans-LightItalic" w:cs="GillSans-LightItalic"/>
          <w:iCs/>
          <w:color w:val="1F497D" w:themeColor="text2"/>
          <w:sz w:val="18"/>
          <w:szCs w:val="18"/>
          <w:highlight w:val="yellow"/>
        </w:rPr>
        <w:t>185 991</w:t>
      </w:r>
    </w:p>
    <w:p w:rsidR="00246036" w:rsidRPr="003D6199" w:rsidRDefault="00246036" w:rsidP="003B7739">
      <w:pPr>
        <w:spacing w:after="0" w:line="240" w:lineRule="auto"/>
        <w:rPr>
          <w:rFonts w:ascii="GillSans-LightItalic" w:hAnsi="GillSans-LightItalic" w:cs="GillSans-LightItalic"/>
          <w:iCs/>
          <w:sz w:val="18"/>
          <w:szCs w:val="18"/>
          <w:highlight w:val="yellow"/>
        </w:rPr>
      </w:pPr>
    </w:p>
    <w:p w:rsidR="002B2552" w:rsidRPr="00DF14B2" w:rsidRDefault="002B2552" w:rsidP="00DF14B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F14B2">
        <w:rPr>
          <w:rFonts w:ascii="Arial" w:hAnsi="Arial" w:cs="Arial"/>
          <w:b/>
          <w:sz w:val="20"/>
          <w:szCs w:val="20"/>
        </w:rPr>
        <w:t>Page 335</w:t>
      </w:r>
    </w:p>
    <w:p w:rsidR="00246036" w:rsidRPr="00246036" w:rsidRDefault="002B2552" w:rsidP="00DF14B2">
      <w:pPr>
        <w:spacing w:after="0" w:line="240" w:lineRule="auto"/>
        <w:rPr>
          <w:color w:val="auto"/>
        </w:rPr>
      </w:pPr>
      <w:r w:rsidRPr="00DF14B2">
        <w:rPr>
          <w:rFonts w:ascii="Arial" w:hAnsi="Arial" w:cs="Arial"/>
          <w:b/>
          <w:sz w:val="20"/>
          <w:szCs w:val="20"/>
        </w:rPr>
        <w:t>Dans l’index, ajouter « </w:t>
      </w:r>
      <w:proofErr w:type="spellStart"/>
      <w:r w:rsidRPr="00DF14B2">
        <w:rPr>
          <w:rFonts w:ascii="Arial" w:hAnsi="Arial" w:cs="Arial"/>
          <w:color w:val="1F497D" w:themeColor="text2"/>
          <w:sz w:val="20"/>
          <w:szCs w:val="20"/>
          <w:highlight w:val="yellow"/>
        </w:rPr>
        <w:t>Duflot</w:t>
      </w:r>
      <w:proofErr w:type="spellEnd"/>
      <w:r w:rsidR="0019781C" w:rsidRPr="00DF14B2">
        <w:rPr>
          <w:rFonts w:ascii="Arial" w:hAnsi="Arial" w:cs="Arial"/>
          <w:color w:val="1F497D" w:themeColor="text2"/>
          <w:sz w:val="20"/>
          <w:szCs w:val="20"/>
        </w:rPr>
        <w:t> »</w:t>
      </w:r>
    </w:p>
    <w:sectPr w:rsidR="00246036" w:rsidRPr="00246036" w:rsidSect="000717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83D" w:rsidRDefault="00C3283D" w:rsidP="00A53955">
      <w:pPr>
        <w:spacing w:after="0" w:line="240" w:lineRule="auto"/>
      </w:pPr>
      <w:r>
        <w:separator/>
      </w:r>
    </w:p>
  </w:endnote>
  <w:endnote w:type="continuationSeparator" w:id="0">
    <w:p w:rsidR="00C3283D" w:rsidRDefault="00C3283D" w:rsidP="00A5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San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-Light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14643"/>
      <w:docPartObj>
        <w:docPartGallery w:val="Page Numbers (Bottom of Page)"/>
        <w:docPartUnique/>
      </w:docPartObj>
    </w:sdtPr>
    <w:sdtContent>
      <w:p w:rsidR="00A53955" w:rsidRDefault="001F55C6">
        <w:pPr>
          <w:pStyle w:val="Pieddepage"/>
          <w:jc w:val="right"/>
        </w:pPr>
        <w:fldSimple w:instr=" PAGE   \* MERGEFORMAT ">
          <w:r w:rsidR="00DF14B2">
            <w:rPr>
              <w:noProof/>
            </w:rPr>
            <w:t>2</w:t>
          </w:r>
        </w:fldSimple>
      </w:p>
    </w:sdtContent>
  </w:sdt>
  <w:p w:rsidR="00A53955" w:rsidRDefault="00A5395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83D" w:rsidRDefault="00C3283D" w:rsidP="00A53955">
      <w:pPr>
        <w:spacing w:after="0" w:line="240" w:lineRule="auto"/>
      </w:pPr>
      <w:r>
        <w:separator/>
      </w:r>
    </w:p>
  </w:footnote>
  <w:footnote w:type="continuationSeparator" w:id="0">
    <w:p w:rsidR="00C3283D" w:rsidRDefault="00C3283D" w:rsidP="00A539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80D2A"/>
    <w:multiLevelType w:val="hybridMultilevel"/>
    <w:tmpl w:val="6AACAB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376"/>
    <w:rsid w:val="000010C7"/>
    <w:rsid w:val="000400F0"/>
    <w:rsid w:val="00062E11"/>
    <w:rsid w:val="00067DB8"/>
    <w:rsid w:val="000717CE"/>
    <w:rsid w:val="00094B06"/>
    <w:rsid w:val="000B7C0C"/>
    <w:rsid w:val="00117B9F"/>
    <w:rsid w:val="0013036F"/>
    <w:rsid w:val="0019781C"/>
    <w:rsid w:val="001F55C6"/>
    <w:rsid w:val="001F7436"/>
    <w:rsid w:val="00230C50"/>
    <w:rsid w:val="00246036"/>
    <w:rsid w:val="00262DA5"/>
    <w:rsid w:val="0027171B"/>
    <w:rsid w:val="002B2552"/>
    <w:rsid w:val="002B78FB"/>
    <w:rsid w:val="002D031B"/>
    <w:rsid w:val="002F0BE3"/>
    <w:rsid w:val="003050FE"/>
    <w:rsid w:val="00325BB5"/>
    <w:rsid w:val="00367959"/>
    <w:rsid w:val="003806B8"/>
    <w:rsid w:val="003B7739"/>
    <w:rsid w:val="003D6199"/>
    <w:rsid w:val="004304E7"/>
    <w:rsid w:val="00452BFF"/>
    <w:rsid w:val="004567EA"/>
    <w:rsid w:val="004C2BFC"/>
    <w:rsid w:val="004C3793"/>
    <w:rsid w:val="004E69A3"/>
    <w:rsid w:val="004F4F63"/>
    <w:rsid w:val="00510376"/>
    <w:rsid w:val="00521C74"/>
    <w:rsid w:val="005253F4"/>
    <w:rsid w:val="00536EAB"/>
    <w:rsid w:val="00577960"/>
    <w:rsid w:val="00581114"/>
    <w:rsid w:val="00581B9B"/>
    <w:rsid w:val="005979D5"/>
    <w:rsid w:val="006071DF"/>
    <w:rsid w:val="00611D44"/>
    <w:rsid w:val="00645B4E"/>
    <w:rsid w:val="00683CEE"/>
    <w:rsid w:val="006C4966"/>
    <w:rsid w:val="006E3323"/>
    <w:rsid w:val="007051A7"/>
    <w:rsid w:val="00717EFB"/>
    <w:rsid w:val="007510D1"/>
    <w:rsid w:val="007B3740"/>
    <w:rsid w:val="00852B69"/>
    <w:rsid w:val="0087061A"/>
    <w:rsid w:val="0089053F"/>
    <w:rsid w:val="008C0D72"/>
    <w:rsid w:val="00960F1E"/>
    <w:rsid w:val="009639D9"/>
    <w:rsid w:val="0099593E"/>
    <w:rsid w:val="009B1626"/>
    <w:rsid w:val="009C5759"/>
    <w:rsid w:val="00A03529"/>
    <w:rsid w:val="00A53955"/>
    <w:rsid w:val="00A72166"/>
    <w:rsid w:val="00AA30CE"/>
    <w:rsid w:val="00AC6B09"/>
    <w:rsid w:val="00AF7C84"/>
    <w:rsid w:val="00B40529"/>
    <w:rsid w:val="00B53389"/>
    <w:rsid w:val="00B859FC"/>
    <w:rsid w:val="00C04CD5"/>
    <w:rsid w:val="00C10E17"/>
    <w:rsid w:val="00C231C1"/>
    <w:rsid w:val="00C3283D"/>
    <w:rsid w:val="00D20070"/>
    <w:rsid w:val="00D30B25"/>
    <w:rsid w:val="00DB32DA"/>
    <w:rsid w:val="00DE531F"/>
    <w:rsid w:val="00DF1141"/>
    <w:rsid w:val="00DF14B2"/>
    <w:rsid w:val="00DF4A65"/>
    <w:rsid w:val="00E1638D"/>
    <w:rsid w:val="00E255BF"/>
    <w:rsid w:val="00EE783A"/>
    <w:rsid w:val="00F574C4"/>
    <w:rsid w:val="00F66C34"/>
    <w:rsid w:val="00FA44E4"/>
    <w:rsid w:val="00FA7C41"/>
    <w:rsid w:val="00FB4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fr-FR" w:eastAsia="fr-F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4C4"/>
    <w:pPr>
      <w:spacing w:after="200" w:line="276" w:lineRule="auto"/>
    </w:pPr>
    <w:rPr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574C4"/>
    <w:rPr>
      <w:sz w:val="22"/>
    </w:rPr>
  </w:style>
  <w:style w:type="paragraph" w:styleId="Paragraphedeliste">
    <w:name w:val="List Paragraph"/>
    <w:basedOn w:val="Normal"/>
    <w:uiPriority w:val="34"/>
    <w:qFormat/>
    <w:rsid w:val="00F574C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F574C4"/>
    <w:rPr>
      <w:b/>
      <w:bCs/>
    </w:rPr>
  </w:style>
  <w:style w:type="table" w:styleId="Grilledutableau">
    <w:name w:val="Table Grid"/>
    <w:basedOn w:val="TableauNormal"/>
    <w:uiPriority w:val="59"/>
    <w:rsid w:val="003806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A53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53955"/>
    <w:rPr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A53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3955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764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DENOS Pascal</dc:creator>
  <cp:lastModifiedBy>DENOS Pascal</cp:lastModifiedBy>
  <cp:revision>6</cp:revision>
  <dcterms:created xsi:type="dcterms:W3CDTF">2013-06-25T11:35:00Z</dcterms:created>
  <dcterms:modified xsi:type="dcterms:W3CDTF">2013-06-25T13:01:00Z</dcterms:modified>
</cp:coreProperties>
</file>